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25F" w:rsidRPr="00AD625F" w:rsidRDefault="00AD625F" w:rsidP="00AD625F">
      <w:pPr>
        <w:pStyle w:val="Titre1"/>
        <w:pBdr>
          <w:bottom w:val="single" w:sz="4" w:space="1" w:color="00000A"/>
        </w:pBdr>
        <w:shd w:val="clear" w:color="auto" w:fill="F2F2F2" w:themeFill="background1" w:themeFillShade="F2"/>
        <w:spacing w:before="120" w:after="120"/>
        <w:jc w:val="center"/>
        <w:rPr>
          <w:color w:val="000000" w:themeColor="text1"/>
          <w:sz w:val="24"/>
          <w:szCs w:val="24"/>
        </w:rPr>
      </w:pPr>
      <w:r w:rsidRPr="00AD625F">
        <w:rPr>
          <w:color w:val="000000" w:themeColor="text1"/>
          <w:sz w:val="24"/>
          <w:szCs w:val="24"/>
        </w:rPr>
        <w:t>Séminaire des 29 et 30/11/2017, </w:t>
      </w:r>
      <w:proofErr w:type="spellStart"/>
      <w:r w:rsidRPr="00AD625F">
        <w:rPr>
          <w:color w:val="000000" w:themeColor="text1"/>
          <w:sz w:val="24"/>
          <w:szCs w:val="24"/>
        </w:rPr>
        <w:t>Ifsttar</w:t>
      </w:r>
      <w:proofErr w:type="spellEnd"/>
      <w:r w:rsidRPr="00AD625F">
        <w:rPr>
          <w:color w:val="000000" w:themeColor="text1"/>
          <w:sz w:val="24"/>
          <w:szCs w:val="24"/>
        </w:rPr>
        <w:t xml:space="preserve"> Villeneuve d'Ascq</w:t>
      </w:r>
    </w:p>
    <w:p w:rsidR="00055C21" w:rsidRDefault="00D040C4" w:rsidP="001F5BF9">
      <w:pPr>
        <w:pStyle w:val="Titre1"/>
        <w:pBdr>
          <w:bottom w:val="single" w:sz="4" w:space="1" w:color="00000A"/>
        </w:pBdr>
        <w:shd w:val="clear" w:color="auto" w:fill="F2F2F2" w:themeFill="background1" w:themeFillShade="F2"/>
        <w:spacing w:before="120" w:after="120"/>
        <w:jc w:val="center"/>
      </w:pPr>
      <w:r>
        <w:t>BILAN ET RESTITUTION DE L’ATELIER</w:t>
      </w:r>
    </w:p>
    <w:p w:rsidR="00C01D82" w:rsidRDefault="00AD625F" w:rsidP="001F5BF9">
      <w:pPr>
        <w:pStyle w:val="Titre1"/>
        <w:pBdr>
          <w:bottom w:val="single" w:sz="4" w:space="1" w:color="00000A"/>
        </w:pBdr>
        <w:shd w:val="clear" w:color="auto" w:fill="F2F2F2" w:themeFill="background1" w:themeFillShade="F2"/>
        <w:spacing w:before="120" w:after="120"/>
        <w:jc w:val="center"/>
      </w:pPr>
      <w:r>
        <w:t>Formation en ligne</w:t>
      </w:r>
    </w:p>
    <w:p w:rsidR="00C9663C" w:rsidRDefault="00C9663C" w:rsidP="00C9663C">
      <w:pPr>
        <w:jc w:val="both"/>
      </w:pPr>
      <w:r>
        <w:t>L’architecture proposée pour le sommaire est indicative. Toute liberté vous est donnée pour ajouter, retirer un item etc.</w:t>
      </w:r>
    </w:p>
    <w:p w:rsidR="00D2164C" w:rsidRPr="00063ABB" w:rsidRDefault="00B5019C" w:rsidP="00063ABB">
      <w:pPr>
        <w:pStyle w:val="Titre1"/>
        <w:pBdr>
          <w:bottom w:val="single" w:sz="4" w:space="1" w:color="00000A"/>
        </w:pBdr>
        <w:rPr>
          <w:rStyle w:val="Titre2Car"/>
        </w:rPr>
      </w:pPr>
      <w:r>
        <w:rPr>
          <w:rStyle w:val="Titre2Car"/>
        </w:rPr>
        <w:t>Restitution</w:t>
      </w:r>
    </w:p>
    <w:p w:rsidR="00B5019C" w:rsidRDefault="00B5019C" w:rsidP="00B5019C">
      <w:r>
        <w:t xml:space="preserve">Perspective de la création du CIPEN (Centre d’innovation pédagogique et numérique) au sein de la future université cible en réponse à l’action prévue dans le cadre de l’ISITE « Création d’un </w:t>
      </w:r>
      <w:proofErr w:type="spellStart"/>
      <w:r>
        <w:t>learning</w:t>
      </w:r>
      <w:proofErr w:type="spellEnd"/>
      <w:r>
        <w:t xml:space="preserve"> center » accessible à l’ensemble des partenaires du projet, création postérieure à celle de l’université cible. Au stade actuel, les pistes envisagées sont :</w:t>
      </w:r>
    </w:p>
    <w:p w:rsidR="00B5019C" w:rsidRDefault="00B5019C" w:rsidP="00B5019C">
      <w:pPr>
        <w:pStyle w:val="Paragraphedeliste"/>
        <w:numPr>
          <w:ilvl w:val="0"/>
          <w:numId w:val="8"/>
        </w:numPr>
      </w:pPr>
      <w:r>
        <w:t xml:space="preserve">Mise en place d’un tiers lieux sur la base de l’actuel </w:t>
      </w:r>
      <w:proofErr w:type="spellStart"/>
      <w:r>
        <w:t>Centrif</w:t>
      </w:r>
      <w:proofErr w:type="spellEnd"/>
      <w:r>
        <w:t>’ (ex IFU)</w:t>
      </w:r>
    </w:p>
    <w:p w:rsidR="00B5019C" w:rsidRDefault="00B5019C" w:rsidP="00B5019C">
      <w:pPr>
        <w:pStyle w:val="Paragraphedeliste"/>
        <w:numPr>
          <w:ilvl w:val="0"/>
          <w:numId w:val="8"/>
        </w:numPr>
      </w:pPr>
      <w:r>
        <w:t>Mise en place d’un campus numérique pour le soutien technique : architecture de services, gestion des media</w:t>
      </w:r>
    </w:p>
    <w:p w:rsidR="00B5019C" w:rsidRDefault="00B5019C" w:rsidP="00B5019C">
      <w:pPr>
        <w:pStyle w:val="Paragraphedeliste"/>
        <w:numPr>
          <w:ilvl w:val="0"/>
          <w:numId w:val="8"/>
        </w:numPr>
      </w:pPr>
      <w:r>
        <w:t>Service universitaire de pédagogie, lieu d’incubation de prototype, d’ingénierie et de conseil pédagogique</w:t>
      </w:r>
    </w:p>
    <w:p w:rsidR="00B5019C" w:rsidRDefault="00B5019C" w:rsidP="00B5019C">
      <w:pPr>
        <w:pStyle w:val="Paragraphedeliste"/>
        <w:numPr>
          <w:ilvl w:val="0"/>
          <w:numId w:val="8"/>
        </w:numPr>
      </w:pPr>
      <w:r>
        <w:t>Service commun pour l’enseignement des langues vivantes</w:t>
      </w:r>
    </w:p>
    <w:p w:rsidR="00B5019C" w:rsidRDefault="00B5019C" w:rsidP="00B5019C">
      <w:pPr>
        <w:pStyle w:val="Paragraphedeliste"/>
        <w:numPr>
          <w:ilvl w:val="0"/>
          <w:numId w:val="8"/>
        </w:numPr>
      </w:pPr>
      <w:r>
        <w:t>Centre d’écriture (FLE, « alphabétisation », art, graphisme)</w:t>
      </w:r>
    </w:p>
    <w:p w:rsidR="00B5019C" w:rsidRDefault="00B5019C" w:rsidP="00B5019C">
      <w:r>
        <w:br w:type="page"/>
      </w:r>
    </w:p>
    <w:p w:rsidR="00B5019C" w:rsidRDefault="00B5019C" w:rsidP="00B5019C">
      <w:r>
        <w:lastRenderedPageBreak/>
        <w:t xml:space="preserve">Atteindre les publics empêchés : handicap, activité professionnelle, éloignement géographique (Outre-mer, francophonie, monde entier), accompagner l’éco-mobilité 2.0, écoresponsable, citoyenneté 2.0 </w:t>
      </w:r>
    </w:p>
    <w:p w:rsidR="00B5019C" w:rsidRDefault="00B5019C" w:rsidP="00B5019C">
      <w:r>
        <w:t>Faire reconnaitre l’enseignement à distance comme faisant partie intégrante de l’ADN de l’</w:t>
      </w:r>
      <w:proofErr w:type="spellStart"/>
      <w:r>
        <w:t>UCible</w:t>
      </w:r>
      <w:proofErr w:type="spellEnd"/>
      <w:r>
        <w:t>, (plusieurs partenaires déjà investis dans le sujet). Enjeux identifiés :</w:t>
      </w:r>
    </w:p>
    <w:p w:rsidR="00B5019C" w:rsidRDefault="00B5019C" w:rsidP="00B5019C">
      <w:pPr>
        <w:pStyle w:val="Paragraphedeliste"/>
        <w:numPr>
          <w:ilvl w:val="0"/>
          <w:numId w:val="9"/>
        </w:numPr>
      </w:pPr>
      <w:r>
        <w:t>S’adapter à la demande des apprenants sur la méthode utilisée (cours multi-supports, responsive)</w:t>
      </w:r>
    </w:p>
    <w:p w:rsidR="00B5019C" w:rsidRDefault="00B5019C" w:rsidP="00B5019C">
      <w:pPr>
        <w:pStyle w:val="Paragraphedeliste"/>
        <w:numPr>
          <w:ilvl w:val="0"/>
          <w:numId w:val="9"/>
        </w:numPr>
      </w:pPr>
      <w:r>
        <w:t>Susciter une adhésion progressive des enseignants (apprendre à partager)</w:t>
      </w:r>
    </w:p>
    <w:p w:rsidR="00B5019C" w:rsidRDefault="00B5019C" w:rsidP="00B5019C">
      <w:pPr>
        <w:pStyle w:val="Paragraphedeliste"/>
        <w:numPr>
          <w:ilvl w:val="0"/>
          <w:numId w:val="9"/>
        </w:numPr>
      </w:pPr>
      <w:r>
        <w:t xml:space="preserve">Développer une offre de formation qui hybride présentiel et </w:t>
      </w:r>
      <w:proofErr w:type="spellStart"/>
      <w:r>
        <w:t>distanciel</w:t>
      </w:r>
      <w:proofErr w:type="spellEnd"/>
      <w:r>
        <w:t>, favorise l’interdisciplinaire</w:t>
      </w:r>
    </w:p>
    <w:p w:rsidR="00B5019C" w:rsidRPr="0062469A" w:rsidRDefault="00B5019C" w:rsidP="00B5019C">
      <w:pPr>
        <w:pStyle w:val="Paragraphedeliste"/>
        <w:numPr>
          <w:ilvl w:val="0"/>
          <w:numId w:val="9"/>
        </w:numPr>
      </w:pPr>
      <w:r>
        <w:t xml:space="preserve">Identifier nos publics cibles et domaines cibles qui contribuent à l’image de marque de la future </w:t>
      </w:r>
      <w:proofErr w:type="spellStart"/>
      <w:r>
        <w:t>UCible</w:t>
      </w:r>
      <w:proofErr w:type="spellEnd"/>
      <w:r>
        <w:t xml:space="preserve"> : </w:t>
      </w:r>
      <w:r w:rsidRPr="0062469A">
        <w:t>Identifier les cibles visées : niveau d’études, domaines de formation</w:t>
      </w:r>
    </w:p>
    <w:p w:rsidR="00B5019C" w:rsidRDefault="00B5019C" w:rsidP="00B5019C">
      <w:pPr>
        <w:pStyle w:val="Paragraphedeliste"/>
        <w:numPr>
          <w:ilvl w:val="0"/>
          <w:numId w:val="9"/>
        </w:numPr>
      </w:pPr>
      <w:r>
        <w:t>Converger vers une stratégie DSI compatible avec cette démarche</w:t>
      </w:r>
    </w:p>
    <w:p w:rsidR="00B5019C" w:rsidRDefault="00B5019C" w:rsidP="00B5019C">
      <w:pPr>
        <w:pStyle w:val="Paragraphedeliste"/>
        <w:numPr>
          <w:ilvl w:val="0"/>
          <w:numId w:val="9"/>
        </w:numPr>
      </w:pPr>
      <w:r>
        <w:t>Connaître l’offre de formation existante</w:t>
      </w:r>
    </w:p>
    <w:p w:rsidR="00B5019C" w:rsidRDefault="00B5019C" w:rsidP="00B5019C">
      <w:pPr>
        <w:pStyle w:val="Paragraphedeliste"/>
        <w:numPr>
          <w:ilvl w:val="0"/>
          <w:numId w:val="9"/>
        </w:numPr>
      </w:pPr>
      <w:r>
        <w:t>Avoir une stratégie d’offre partagée (privilégier les partenaires du projet)</w:t>
      </w:r>
    </w:p>
    <w:p w:rsidR="00B5019C" w:rsidRDefault="00B5019C" w:rsidP="00B5019C">
      <w:pPr>
        <w:pStyle w:val="Paragraphedeliste"/>
        <w:numPr>
          <w:ilvl w:val="0"/>
          <w:numId w:val="9"/>
        </w:numPr>
      </w:pPr>
      <w:r>
        <w:t xml:space="preserve">Être ambitieux tout de suite pour le long terme et appliquer l’adage « Small </w:t>
      </w:r>
      <w:proofErr w:type="spellStart"/>
      <w:r>
        <w:t>is</w:t>
      </w:r>
      <w:proofErr w:type="spellEnd"/>
      <w:r>
        <w:t xml:space="preserve"> </w:t>
      </w:r>
      <w:proofErr w:type="spellStart"/>
      <w:r>
        <w:t>beautiful</w:t>
      </w:r>
      <w:proofErr w:type="spellEnd"/>
      <w:r>
        <w:t> » au départ pour rôder, acquérir de premier succès</w:t>
      </w:r>
    </w:p>
    <w:p w:rsidR="00B5019C" w:rsidRDefault="00B5019C" w:rsidP="00B5019C">
      <w:pPr>
        <w:pStyle w:val="Paragraphedeliste"/>
        <w:numPr>
          <w:ilvl w:val="0"/>
          <w:numId w:val="9"/>
        </w:numPr>
      </w:pPr>
      <w:r>
        <w:t>Créer une force de vente, qui accompagne le développement de l’offre.</w:t>
      </w:r>
    </w:p>
    <w:p w:rsidR="00B5019C" w:rsidRDefault="00B5019C" w:rsidP="00B5019C">
      <w:pPr>
        <w:pStyle w:val="Paragraphedeliste"/>
        <w:numPr>
          <w:ilvl w:val="0"/>
          <w:numId w:val="9"/>
        </w:numPr>
      </w:pPr>
      <w:r>
        <w:t>Adopter un modèle de licence de diffusion partagé</w:t>
      </w:r>
    </w:p>
    <w:p w:rsidR="00B5019C" w:rsidRDefault="00B5019C" w:rsidP="00B5019C">
      <w:pPr>
        <w:pStyle w:val="Paragraphedeliste"/>
        <w:numPr>
          <w:ilvl w:val="0"/>
          <w:numId w:val="9"/>
        </w:numPr>
      </w:pPr>
      <w:r>
        <w:t>Condition de réussite : Avoir le soutien des fonctions support (juristes, RH, …)</w:t>
      </w:r>
    </w:p>
    <w:p w:rsidR="00B5019C" w:rsidRDefault="00B5019C" w:rsidP="00B5019C">
      <w:pPr>
        <w:pStyle w:val="Paragraphedeliste"/>
        <w:numPr>
          <w:ilvl w:val="0"/>
          <w:numId w:val="9"/>
        </w:numPr>
      </w:pPr>
      <w:r>
        <w:t>« Verdir » les objectifs de la ville de demain (dimension environnementale, agriculture urbaine…), avec des partenaires à identifier, penser « vert » en avance de phase de la demande sociétale</w:t>
      </w:r>
    </w:p>
    <w:p w:rsidR="00B5019C" w:rsidRDefault="00B5019C" w:rsidP="00B5019C">
      <w:r>
        <w:br w:type="page"/>
      </w:r>
    </w:p>
    <w:p w:rsidR="00B5019C" w:rsidRDefault="00B5019C" w:rsidP="00B5019C">
      <w:r>
        <w:lastRenderedPageBreak/>
        <w:t>Atelier prospectif : des pistes prometteuses sur le numérique dans l’enseignement à distance</w:t>
      </w:r>
    </w:p>
    <w:p w:rsidR="00B5019C" w:rsidRDefault="00B5019C" w:rsidP="00B5019C">
      <w:pPr>
        <w:pStyle w:val="Paragraphedeliste"/>
        <w:numPr>
          <w:ilvl w:val="0"/>
          <w:numId w:val="7"/>
        </w:numPr>
      </w:pPr>
      <w:r>
        <w:t>Mettre en place des JPO et Salons étudiants en mode numérique (à l’instar de ce qui se fait en présentiel) pour valoriser l’offre de formation de l’</w:t>
      </w:r>
      <w:proofErr w:type="spellStart"/>
      <w:r>
        <w:t>UCible</w:t>
      </w:r>
      <w:proofErr w:type="spellEnd"/>
      <w:r>
        <w:t>. Piste possible : doubler les évènements actuels par une vitrine numérique : JPO commune sur le campus Descartes, Forum Descartes</w:t>
      </w:r>
    </w:p>
    <w:p w:rsidR="00B5019C" w:rsidRDefault="00B5019C" w:rsidP="00B5019C">
      <w:pPr>
        <w:pStyle w:val="Paragraphedeliste"/>
        <w:numPr>
          <w:ilvl w:val="0"/>
          <w:numId w:val="7"/>
        </w:numPr>
      </w:pPr>
      <w:r>
        <w:t xml:space="preserve">« Bac à sable pour les </w:t>
      </w:r>
      <w:proofErr w:type="spellStart"/>
      <w:r>
        <w:t>sachants</w:t>
      </w:r>
      <w:proofErr w:type="spellEnd"/>
      <w:r>
        <w:t xml:space="preserve"> » avec mise en œuvre de micro-services pour prototypes de formation (tutoriel, boîte à outils, partage de données tests, </w:t>
      </w:r>
      <w:proofErr w:type="spellStart"/>
      <w:r>
        <w:t>cobayage</w:t>
      </w:r>
      <w:proofErr w:type="spellEnd"/>
      <w:r>
        <w:t xml:space="preserve"> de maquettes de grains pédagogiques) à coût marginal</w:t>
      </w:r>
    </w:p>
    <w:p w:rsidR="00B5019C" w:rsidRDefault="00B5019C" w:rsidP="00B5019C">
      <w:pPr>
        <w:pStyle w:val="Paragraphedeliste"/>
        <w:numPr>
          <w:ilvl w:val="0"/>
          <w:numId w:val="7"/>
        </w:numPr>
      </w:pPr>
      <w:r>
        <w:t xml:space="preserve">« Construction d’une plateforme d’offre de formation à façon » pour répondre à la variété des situations et « parer » le risque d’avoir des GAFA qui s’empare de la personnalisation des parcours de formation (existe déjà sur </w:t>
      </w:r>
      <w:proofErr w:type="spellStart"/>
      <w:r>
        <w:t>Linkedin</w:t>
      </w:r>
      <w:proofErr w:type="spellEnd"/>
      <w:r>
        <w:t xml:space="preserve">, perspective </w:t>
      </w:r>
      <w:proofErr w:type="spellStart"/>
      <w:r>
        <w:t>facebook</w:t>
      </w:r>
      <w:proofErr w:type="spellEnd"/>
      <w:r>
        <w:t>) ,</w:t>
      </w:r>
    </w:p>
    <w:p w:rsidR="00B5019C" w:rsidRDefault="00B5019C" w:rsidP="00B5019C">
      <w:pPr>
        <w:pStyle w:val="Paragraphedeliste"/>
        <w:numPr>
          <w:ilvl w:val="0"/>
          <w:numId w:val="7"/>
        </w:numPr>
      </w:pPr>
      <w:r>
        <w:t>Faire catalogue, permet de décliner des parcours qui peuvent être orienté :</w:t>
      </w:r>
    </w:p>
    <w:p w:rsidR="00B5019C" w:rsidRDefault="00B5019C" w:rsidP="00B5019C">
      <w:pPr>
        <w:pStyle w:val="Paragraphedeliste"/>
        <w:numPr>
          <w:ilvl w:val="1"/>
          <w:numId w:val="7"/>
        </w:numPr>
      </w:pPr>
      <w:r>
        <w:t xml:space="preserve">Sensibilisation : à destination des lycéens pour promouvoir les métiers et domaines d’application présents au sein de la future </w:t>
      </w:r>
      <w:proofErr w:type="spellStart"/>
      <w:r>
        <w:t>UCible</w:t>
      </w:r>
      <w:proofErr w:type="spellEnd"/>
      <w:r>
        <w:t> : MOOC généraliste de sensibilisation, TPE en ligne sur les problématiques de la ville de demain et in fine offrir un service d’orientation</w:t>
      </w:r>
    </w:p>
    <w:p w:rsidR="00B5019C" w:rsidRDefault="00B5019C" w:rsidP="00B5019C">
      <w:pPr>
        <w:pStyle w:val="Paragraphedeliste"/>
        <w:numPr>
          <w:ilvl w:val="1"/>
          <w:numId w:val="7"/>
        </w:numPr>
      </w:pPr>
      <w:r>
        <w:t>Professionnalisation : avec délivrance de certificats d’établissement</w:t>
      </w:r>
      <w:r w:rsidRPr="00402190">
        <w:t xml:space="preserve"> </w:t>
      </w:r>
      <w:r>
        <w:t xml:space="preserve">ou de diplômes accrédités, reconnus par financeurs de la formation professionnelle, soutien à la mise en œuvre dans les projets </w:t>
      </w:r>
      <w:proofErr w:type="spellStart"/>
      <w:r>
        <w:t>Pepite</w:t>
      </w:r>
      <w:proofErr w:type="spellEnd"/>
      <w:r>
        <w:t xml:space="preserve"> (ex : comment créer sa société)</w:t>
      </w:r>
    </w:p>
    <w:p w:rsidR="00B5019C" w:rsidRDefault="00B5019C" w:rsidP="00B5019C">
      <w:pPr>
        <w:pStyle w:val="Paragraphedeliste"/>
        <w:numPr>
          <w:ilvl w:val="0"/>
          <w:numId w:val="7"/>
        </w:numPr>
      </w:pPr>
      <w:proofErr w:type="spellStart"/>
      <w:r>
        <w:t>Big</w:t>
      </w:r>
      <w:proofErr w:type="spellEnd"/>
      <w:r>
        <w:t xml:space="preserve"> data, valoriser les données collectées sur les apprenants « </w:t>
      </w:r>
      <w:proofErr w:type="spellStart"/>
      <w:r>
        <w:t>learning</w:t>
      </w:r>
      <w:proofErr w:type="spellEnd"/>
      <w:r>
        <w:t xml:space="preserve"> </w:t>
      </w:r>
      <w:proofErr w:type="spellStart"/>
      <w:r>
        <w:t>analytics</w:t>
      </w:r>
      <w:proofErr w:type="spellEnd"/>
      <w:r>
        <w:t xml:space="preserve"> ». </w:t>
      </w:r>
    </w:p>
    <w:p w:rsidR="00B5019C" w:rsidRDefault="00B5019C" w:rsidP="00B5019C">
      <w:pPr>
        <w:pStyle w:val="Paragraphedeliste"/>
        <w:numPr>
          <w:ilvl w:val="0"/>
          <w:numId w:val="7"/>
        </w:numPr>
      </w:pPr>
      <w:r>
        <w:t>Avoir un évènement fédérateur sur les thématiques de l’</w:t>
      </w:r>
      <w:proofErr w:type="spellStart"/>
      <w:r>
        <w:t>elearning</w:t>
      </w:r>
      <w:proofErr w:type="spellEnd"/>
      <w:r>
        <w:t xml:space="preserve"> : adaptation progressive de l’évènement </w:t>
      </w:r>
      <w:proofErr w:type="spellStart"/>
      <w:r>
        <w:t>Geom@TICE</w:t>
      </w:r>
      <w:proofErr w:type="spellEnd"/>
      <w:r>
        <w:t xml:space="preserve"> au projet ISITE dès 2018 : prévu le 28/29 mai 2018</w:t>
      </w:r>
    </w:p>
    <w:p w:rsidR="00B5019C" w:rsidRDefault="00B5019C" w:rsidP="00B5019C">
      <w:pPr>
        <w:pStyle w:val="Paragraphedeliste"/>
        <w:numPr>
          <w:ilvl w:val="0"/>
          <w:numId w:val="7"/>
        </w:numPr>
      </w:pPr>
      <w:r>
        <w:t xml:space="preserve">Le Building Information </w:t>
      </w:r>
      <w:proofErr w:type="spellStart"/>
      <w:r>
        <w:t>Modelling</w:t>
      </w:r>
      <w:proofErr w:type="spellEnd"/>
      <w:r>
        <w:t xml:space="preserve"> (BIM), parmi les premières pistes à prospecter : compétences présentes en interne, un public professionnel « presque captif » avec les architectes, les géomètres et cohérent avec les thématiques de l’ISITE</w:t>
      </w:r>
    </w:p>
    <w:p w:rsidR="00B5019C" w:rsidRDefault="00B5019C" w:rsidP="00B5019C">
      <w:pPr>
        <w:pStyle w:val="Paragraphedeliste"/>
        <w:numPr>
          <w:ilvl w:val="0"/>
          <w:numId w:val="7"/>
        </w:numPr>
      </w:pPr>
      <w:r>
        <w:t>Développer l’auto-évaluation (ou bilan de compétences) des étudiants lors de leur inscription (expérimentation de l’université de Grenoble) pour donner un regard objectif à l’étudiant sur l’état de ses connaissances et proposer des parcours adapter. Apporte une réponse à la « non sélection » demandée actuellement, augmente le taux de réussite</w:t>
      </w:r>
    </w:p>
    <w:p w:rsidR="00B5019C" w:rsidRDefault="00B5019C" w:rsidP="00B5019C">
      <w:pPr>
        <w:pStyle w:val="Paragraphedeliste"/>
        <w:numPr>
          <w:ilvl w:val="0"/>
          <w:numId w:val="7"/>
        </w:numPr>
      </w:pPr>
      <w:r>
        <w:t>Co-construire avec l’étudiant son portfolio ou passeport numérique</w:t>
      </w:r>
    </w:p>
    <w:p w:rsidR="00B5019C" w:rsidRDefault="00B5019C" w:rsidP="00B5019C">
      <w:pPr>
        <w:pStyle w:val="Paragraphedeliste"/>
        <w:numPr>
          <w:ilvl w:val="0"/>
          <w:numId w:val="7"/>
        </w:numPr>
      </w:pPr>
      <w:r>
        <w:t>Accompagner l’offre d’apprentissage proposée pour élargir le public cible</w:t>
      </w:r>
    </w:p>
    <w:p w:rsidR="00B5019C" w:rsidRDefault="00B5019C" w:rsidP="00B5019C">
      <w:pPr>
        <w:pStyle w:val="Paragraphedeliste"/>
        <w:numPr>
          <w:ilvl w:val="0"/>
          <w:numId w:val="7"/>
        </w:numPr>
      </w:pPr>
      <w:r>
        <w:t>Décliner en numérique dans des langues étrangères des formations emblématiques des savoirs de l’</w:t>
      </w:r>
      <w:proofErr w:type="spellStart"/>
      <w:r>
        <w:t>UCible</w:t>
      </w:r>
      <w:proofErr w:type="spellEnd"/>
      <w:r>
        <w:t xml:space="preserve"> pour contribuer à son rayonnement</w:t>
      </w:r>
    </w:p>
    <w:p w:rsidR="00B5019C" w:rsidRDefault="00B5019C" w:rsidP="00B5019C">
      <w:pPr>
        <w:pStyle w:val="Paragraphedeliste"/>
        <w:numPr>
          <w:ilvl w:val="0"/>
          <w:numId w:val="7"/>
        </w:numPr>
      </w:pPr>
      <w:r>
        <w:t>Mettre en place des collaborations à distance avec des professeurs invités par la voie numérique, cycle de conférences VIP</w:t>
      </w:r>
    </w:p>
    <w:p w:rsidR="00B5019C" w:rsidRDefault="00B5019C" w:rsidP="00D2164C">
      <w:pPr>
        <w:jc w:val="both"/>
      </w:pPr>
    </w:p>
    <w:p w:rsidR="00063ABB" w:rsidRDefault="00063ABB" w:rsidP="00D2164C">
      <w:pPr>
        <w:jc w:val="both"/>
      </w:pPr>
    </w:p>
    <w:p w:rsidR="00C01D82" w:rsidRPr="00B5019C" w:rsidRDefault="00C01D82" w:rsidP="00B5019C">
      <w:pPr>
        <w:jc w:val="both"/>
        <w:rPr>
          <w:rFonts w:asciiTheme="majorHAnsi" w:eastAsiaTheme="majorEastAsia" w:hAnsiTheme="majorHAnsi" w:cstheme="majorBidi"/>
          <w:b/>
          <w:bCs/>
          <w:i/>
          <w:color w:val="000000" w:themeColor="text1"/>
          <w:sz w:val="24"/>
          <w:szCs w:val="24"/>
        </w:rPr>
      </w:pPr>
      <w:bookmarkStart w:id="0" w:name="_GoBack"/>
      <w:bookmarkEnd w:id="0"/>
    </w:p>
    <w:sectPr w:rsidR="00C01D82" w:rsidRPr="00B5019C"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731" w:rsidRDefault="006F5731" w:rsidP="00D16DA9">
      <w:pPr>
        <w:spacing w:after="0" w:line="240" w:lineRule="auto"/>
      </w:pPr>
      <w:r>
        <w:separator/>
      </w:r>
    </w:p>
  </w:endnote>
  <w:endnote w:type="continuationSeparator" w:id="0">
    <w:p w:rsidR="006F5731" w:rsidRDefault="006F5731"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731" w:rsidRDefault="006F5731" w:rsidP="00D16DA9">
      <w:pPr>
        <w:spacing w:after="0" w:line="240" w:lineRule="auto"/>
      </w:pPr>
      <w:r>
        <w:separator/>
      </w:r>
    </w:p>
  </w:footnote>
  <w:footnote w:type="continuationSeparator" w:id="0">
    <w:p w:rsidR="006F5731" w:rsidRDefault="006F5731"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8D089D"/>
    <w:multiLevelType w:val="hybridMultilevel"/>
    <w:tmpl w:val="5A94766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FC17389"/>
    <w:multiLevelType w:val="hybridMultilevel"/>
    <w:tmpl w:val="3258D0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7" w15:restartNumberingAfterBreak="0">
    <w:nsid w:val="7A4C1667"/>
    <w:multiLevelType w:val="hybridMultilevel"/>
    <w:tmpl w:val="EA4AD5E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8"/>
  </w:num>
  <w:num w:numId="4">
    <w:abstractNumId w:val="6"/>
  </w:num>
  <w:num w:numId="5">
    <w:abstractNumId w:val="1"/>
  </w:num>
  <w:num w:numId="6">
    <w:abstractNumId w:val="5"/>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007CA"/>
    <w:rsid w:val="000356C7"/>
    <w:rsid w:val="0005536D"/>
    <w:rsid w:val="00055C21"/>
    <w:rsid w:val="00063ABB"/>
    <w:rsid w:val="00072FDA"/>
    <w:rsid w:val="001D70FD"/>
    <w:rsid w:val="001E0662"/>
    <w:rsid w:val="001F5BF9"/>
    <w:rsid w:val="00230DF1"/>
    <w:rsid w:val="00245CCA"/>
    <w:rsid w:val="003144AF"/>
    <w:rsid w:val="004A5A4E"/>
    <w:rsid w:val="0057351C"/>
    <w:rsid w:val="005C2610"/>
    <w:rsid w:val="0068212E"/>
    <w:rsid w:val="006C72A9"/>
    <w:rsid w:val="006D37BE"/>
    <w:rsid w:val="006F5731"/>
    <w:rsid w:val="00713FAE"/>
    <w:rsid w:val="0075667C"/>
    <w:rsid w:val="007D6367"/>
    <w:rsid w:val="008754EF"/>
    <w:rsid w:val="00891721"/>
    <w:rsid w:val="008B7814"/>
    <w:rsid w:val="008D48A6"/>
    <w:rsid w:val="00951CE7"/>
    <w:rsid w:val="00983657"/>
    <w:rsid w:val="00AD625F"/>
    <w:rsid w:val="00B278EA"/>
    <w:rsid w:val="00B3504B"/>
    <w:rsid w:val="00B35692"/>
    <w:rsid w:val="00B5019C"/>
    <w:rsid w:val="00C01D82"/>
    <w:rsid w:val="00C93DB8"/>
    <w:rsid w:val="00C9663C"/>
    <w:rsid w:val="00D040C4"/>
    <w:rsid w:val="00D16DA9"/>
    <w:rsid w:val="00D2164C"/>
    <w:rsid w:val="00D82084"/>
    <w:rsid w:val="00DE06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3</Pages>
  <Words>804</Words>
  <Characters>4426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Thierry Fragnet</cp:lastModifiedBy>
  <cp:revision>13</cp:revision>
  <cp:lastPrinted>2017-10-27T14:06:00Z</cp:lastPrinted>
  <dcterms:created xsi:type="dcterms:W3CDTF">2017-11-20T13:39:00Z</dcterms:created>
  <dcterms:modified xsi:type="dcterms:W3CDTF">2017-12-21T17:35:00Z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