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BC2" w:rsidRPr="0057351C" w:rsidRDefault="008F3BC2" w:rsidP="008F3BC2">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Pr>
          <w:rFonts w:asciiTheme="majorHAnsi" w:eastAsiaTheme="majorEastAsia" w:hAnsiTheme="majorHAnsi" w:cstheme="majorBidi"/>
          <w:b/>
          <w:bCs/>
          <w:color w:val="000000" w:themeColor="text1"/>
          <w:lang w:eastAsia="en-US"/>
        </w:rPr>
        <w:t>8 et 9 février 2018, EAVT</w:t>
      </w:r>
    </w:p>
    <w:p w:rsidR="008F3BC2" w:rsidRDefault="008F3BC2" w:rsidP="008F3BC2">
      <w:pPr>
        <w:pStyle w:val="Titre1"/>
        <w:pBdr>
          <w:bottom w:val="single" w:sz="4" w:space="1" w:color="00000A"/>
        </w:pBdr>
        <w:shd w:val="clear" w:color="auto" w:fill="F2F2F2" w:themeFill="background1" w:themeFillShade="F2"/>
        <w:spacing w:before="120" w:after="120"/>
        <w:jc w:val="center"/>
      </w:pPr>
      <w:r>
        <w:t xml:space="preserve">ATELIER </w:t>
      </w:r>
    </w:p>
    <w:p w:rsidR="008F3BC2" w:rsidRDefault="008F3BC2" w:rsidP="008F3BC2">
      <w:pPr>
        <w:pStyle w:val="Titre1"/>
        <w:pBdr>
          <w:bottom w:val="single" w:sz="4" w:space="1" w:color="00000A"/>
        </w:pBdr>
        <w:shd w:val="clear" w:color="auto" w:fill="F2F2F2" w:themeFill="background1" w:themeFillShade="F2"/>
        <w:spacing w:before="120" w:after="120"/>
        <w:jc w:val="center"/>
      </w:pPr>
      <w:r>
        <w:t>Ressources Humaines</w:t>
      </w:r>
    </w:p>
    <w:p w:rsidR="008F3BC2" w:rsidRDefault="008F3BC2" w:rsidP="008F3BC2">
      <w:pPr>
        <w:pStyle w:val="Titre1"/>
        <w:pBdr>
          <w:bottom w:val="single" w:sz="4" w:space="1" w:color="00000A"/>
        </w:pBdr>
        <w:rPr>
          <w:rStyle w:val="Titre2Car"/>
        </w:rPr>
      </w:pPr>
      <w:r>
        <w:rPr>
          <w:rStyle w:val="Titre2Car"/>
        </w:rPr>
        <w:t>Contexte</w:t>
      </w:r>
    </w:p>
    <w:p w:rsidR="008F3BC2" w:rsidRDefault="008F3BC2" w:rsidP="008F3BC2">
      <w:pPr>
        <w:tabs>
          <w:tab w:val="left" w:pos="5409"/>
        </w:tabs>
        <w:jc w:val="both"/>
      </w:pPr>
      <w:r>
        <w:t>Pouvant être entendu</w:t>
      </w:r>
      <w:r w:rsidR="00F91309">
        <w:t>e</w:t>
      </w:r>
      <w:r>
        <w:t xml:space="preserve"> comme </w:t>
      </w:r>
      <w:r w:rsidR="00F91309">
        <w:t xml:space="preserve">l’ensemble des moyens mobilisés pour parvenir à </w:t>
      </w:r>
      <w:r>
        <w:t>l’adéquation optimale entre le projet</w:t>
      </w:r>
      <w:r w:rsidR="006760EC" w:rsidRPr="006760EC">
        <w:t xml:space="preserve"> </w:t>
      </w:r>
      <w:r w:rsidR="006760EC">
        <w:t>de l’établissement</w:t>
      </w:r>
      <w:r w:rsidR="00E4109C">
        <w:t xml:space="preserve"> - </w:t>
      </w:r>
      <w:r w:rsidR="00A407C3">
        <w:t>et sa déclinaison</w:t>
      </w:r>
      <w:r>
        <w:t xml:space="preserve"> en besoin</w:t>
      </w:r>
      <w:r w:rsidR="00A407C3">
        <w:t>s</w:t>
      </w:r>
      <w:r w:rsidR="00E4109C">
        <w:t xml:space="preserve"> -</w:t>
      </w:r>
      <w:r>
        <w:t xml:space="preserve"> et les compétences et aspirations des personnels qui le composent, la </w:t>
      </w:r>
      <w:r w:rsidR="00CB2573">
        <w:t>gestion des</w:t>
      </w:r>
      <w:r>
        <w:t xml:space="preserve"> ressources humaines est </w:t>
      </w:r>
      <w:r w:rsidR="00A407C3">
        <w:t>un des moyens essentiels</w:t>
      </w:r>
      <w:r w:rsidR="00090B22">
        <w:t xml:space="preserve"> </w:t>
      </w:r>
      <w:r w:rsidR="006760EC">
        <w:t xml:space="preserve">au service des missions </w:t>
      </w:r>
      <w:r w:rsidR="00F91309">
        <w:t>d’</w:t>
      </w:r>
      <w:r w:rsidR="006760EC">
        <w:t xml:space="preserve">enseignement et </w:t>
      </w:r>
      <w:r w:rsidR="00F91309">
        <w:t xml:space="preserve">de </w:t>
      </w:r>
      <w:r w:rsidR="006760EC">
        <w:t>recherche</w:t>
      </w:r>
      <w:r>
        <w:t>.</w:t>
      </w:r>
    </w:p>
    <w:p w:rsidR="00CB2573" w:rsidRDefault="00CB2573" w:rsidP="00E4109C">
      <w:pPr>
        <w:jc w:val="both"/>
      </w:pPr>
      <w:r>
        <w:t xml:space="preserve">A ce titre, elle est une fonction majeure de nos établissements et vient, en articulation avec les autres fonctions supports,  à l’appui de la stratégie développée. </w:t>
      </w:r>
    </w:p>
    <w:p w:rsidR="008F3BC2" w:rsidRDefault="00A053F2" w:rsidP="00E4109C">
      <w:pPr>
        <w:jc w:val="both"/>
      </w:pPr>
      <w:r>
        <w:t>Outre ces aspects stratégiques, la fonction ressources humaines comporte plusieurs enjeux propres liés à la question du service aux publics</w:t>
      </w:r>
      <w:r w:rsidR="00E4109C">
        <w:t xml:space="preserve"> : </w:t>
      </w:r>
      <w:r>
        <w:t xml:space="preserve">l’accompagnement des carrières, des parcours professionnels, les politiques de recrutement, de formation des personnels, l’amélioration de la qualité de vie au travail </w:t>
      </w:r>
      <w:r w:rsidR="00E4109C">
        <w:t>sont autant de leviers au service des personnels composant l’établissement, permettant d’am</w:t>
      </w:r>
      <w:r>
        <w:t xml:space="preserve">éliorer le sens du travail et </w:t>
      </w:r>
      <w:r w:rsidR="00E4109C">
        <w:t xml:space="preserve">la place de chacun au sein du </w:t>
      </w:r>
      <w:r>
        <w:t xml:space="preserve">projet collectif. </w:t>
      </w:r>
    </w:p>
    <w:p w:rsidR="008F3BC2" w:rsidRDefault="008F3BC2" w:rsidP="008F3BC2">
      <w:pPr>
        <w:pStyle w:val="Titre2"/>
        <w:pBdr>
          <w:bottom w:val="single" w:sz="4" w:space="1" w:color="00000A"/>
        </w:pBdr>
      </w:pPr>
      <w:r>
        <w:t>Application au cadre de l’I-SITE et de l’Université Cible</w:t>
      </w:r>
    </w:p>
    <w:p w:rsidR="00E4109C" w:rsidRDefault="00E4109C" w:rsidP="00E4109C">
      <w:pPr>
        <w:tabs>
          <w:tab w:val="left" w:pos="5409"/>
        </w:tabs>
        <w:jc w:val="both"/>
      </w:pPr>
      <w:r>
        <w:t xml:space="preserve">D’un établissement à l’autre, en fonction de sa taille ou de son positionnement dans le paysage institutionnel, le périmètre, les activités et les organisations relatives à la fonction ressources humaines peuvent être entendus de manières différentes et se distinguer, pour partie, de l’organisation du service ou de la direction </w:t>
      </w:r>
      <w:proofErr w:type="gramStart"/>
      <w:r>
        <w:t>concerné</w:t>
      </w:r>
      <w:proofErr w:type="gramEnd"/>
      <w:r>
        <w:t xml:space="preserve"> en propre.</w:t>
      </w:r>
    </w:p>
    <w:p w:rsidR="00E4109C" w:rsidRDefault="00E4109C" w:rsidP="00E4109C">
      <w:pPr>
        <w:tabs>
          <w:tab w:val="left" w:pos="5409"/>
        </w:tabs>
        <w:jc w:val="both"/>
        <w:rPr>
          <w:rStyle w:val="object"/>
          <w:rFonts w:cs="Arial"/>
          <w:color w:val="auto"/>
          <w:shd w:val="clear" w:color="auto" w:fill="FFFFFF"/>
        </w:rPr>
      </w:pPr>
      <w:r>
        <w:rPr>
          <w:color w:val="auto"/>
        </w:rPr>
        <w:t>Ainsi, c</w:t>
      </w:r>
      <w:r w:rsidRPr="00D2164C">
        <w:rPr>
          <w:color w:val="auto"/>
        </w:rPr>
        <w:t xml:space="preserve">e séminaire, et </w:t>
      </w:r>
      <w:r>
        <w:rPr>
          <w:color w:val="auto"/>
        </w:rPr>
        <w:t>celui</w:t>
      </w:r>
      <w:r w:rsidRPr="00D2164C">
        <w:rPr>
          <w:color w:val="auto"/>
        </w:rPr>
        <w:t xml:space="preserve"> sur le même thème qui suivr</w:t>
      </w:r>
      <w:r>
        <w:rPr>
          <w:color w:val="auto"/>
        </w:rPr>
        <w:t xml:space="preserve">a </w:t>
      </w:r>
      <w:r w:rsidRPr="00D2164C">
        <w:rPr>
          <w:color w:val="auto"/>
        </w:rPr>
        <w:t xml:space="preserve">les </w:t>
      </w:r>
      <w:r w:rsidR="004A4A76">
        <w:rPr>
          <w:color w:val="auto"/>
        </w:rPr>
        <w:t>19 et 20 mars 2018</w:t>
      </w:r>
      <w:r w:rsidRPr="00D2164C">
        <w:rPr>
          <w:rStyle w:val="object"/>
          <w:rFonts w:cs="Arial"/>
          <w:color w:val="auto"/>
          <w:shd w:val="clear" w:color="auto" w:fill="FFFFFF"/>
        </w:rPr>
        <w:t xml:space="preserve"> (</w:t>
      </w:r>
      <w:r>
        <w:rPr>
          <w:rStyle w:val="object"/>
          <w:rFonts w:cs="Arial"/>
          <w:color w:val="auto"/>
          <w:shd w:val="clear" w:color="auto" w:fill="FFFFFF"/>
        </w:rPr>
        <w:t>IFSTTAR – Salon de Provence</w:t>
      </w:r>
      <w:r w:rsidRPr="00D2164C">
        <w:rPr>
          <w:rStyle w:val="object"/>
          <w:rFonts w:cs="Arial"/>
          <w:color w:val="auto"/>
          <w:shd w:val="clear" w:color="auto" w:fill="FFFFFF"/>
        </w:rPr>
        <w:t>)</w:t>
      </w:r>
      <w:r>
        <w:rPr>
          <w:rStyle w:val="object"/>
          <w:rFonts w:cs="Arial"/>
          <w:color w:val="auto"/>
          <w:shd w:val="clear" w:color="auto" w:fill="FFFFFF"/>
        </w:rPr>
        <w:t>, auront pour but :</w:t>
      </w:r>
    </w:p>
    <w:p w:rsidR="00E4109C" w:rsidRDefault="00E4109C" w:rsidP="00E4109C">
      <w:pPr>
        <w:pStyle w:val="Paragraphedeliste"/>
        <w:numPr>
          <w:ilvl w:val="0"/>
          <w:numId w:val="4"/>
        </w:numPr>
        <w:tabs>
          <w:tab w:val="left" w:pos="5409"/>
        </w:tabs>
        <w:jc w:val="both"/>
        <w:rPr>
          <w:color w:val="auto"/>
        </w:rPr>
      </w:pPr>
      <w:r>
        <w:rPr>
          <w:color w:val="auto"/>
        </w:rPr>
        <w:t xml:space="preserve">de découvrir et de partager l’organisation et le fonctionnement de la fonction ressources humaines au sein de chaque établissement, au-delà, le cas échéant, du périmètre propre du service ou de la direction en charge de cette question </w:t>
      </w:r>
    </w:p>
    <w:p w:rsidR="00E4109C" w:rsidRDefault="00E4109C" w:rsidP="00E4109C">
      <w:pPr>
        <w:pStyle w:val="Paragraphedeliste"/>
        <w:numPr>
          <w:ilvl w:val="0"/>
          <w:numId w:val="4"/>
        </w:numPr>
        <w:tabs>
          <w:tab w:val="left" w:pos="5409"/>
        </w:tabs>
        <w:jc w:val="both"/>
        <w:rPr>
          <w:color w:val="auto"/>
        </w:rPr>
      </w:pPr>
      <w:r>
        <w:rPr>
          <w:color w:val="auto"/>
        </w:rPr>
        <w:t>de partager et d’échanger sur</w:t>
      </w:r>
      <w:r w:rsidR="004A4A76">
        <w:rPr>
          <w:color w:val="auto"/>
        </w:rPr>
        <w:t xml:space="preserve"> la vision de la fonction et </w:t>
      </w:r>
      <w:r w:rsidR="00B13800">
        <w:rPr>
          <w:color w:val="auto"/>
        </w:rPr>
        <w:t>des</w:t>
      </w:r>
      <w:r>
        <w:rPr>
          <w:color w:val="auto"/>
        </w:rPr>
        <w:t xml:space="preserve"> métier</w:t>
      </w:r>
      <w:r w:rsidR="00B13800">
        <w:rPr>
          <w:color w:val="auto"/>
        </w:rPr>
        <w:t>s associés</w:t>
      </w:r>
      <w:r>
        <w:rPr>
          <w:color w:val="auto"/>
        </w:rPr>
        <w:t xml:space="preserve"> dans les environnements professionnels de chacun</w:t>
      </w:r>
    </w:p>
    <w:p w:rsidR="00E4109C" w:rsidRDefault="00E4109C" w:rsidP="00E4109C">
      <w:pPr>
        <w:pStyle w:val="Paragraphedeliste"/>
        <w:numPr>
          <w:ilvl w:val="0"/>
          <w:numId w:val="4"/>
        </w:numPr>
        <w:tabs>
          <w:tab w:val="left" w:pos="5409"/>
        </w:tabs>
        <w:jc w:val="both"/>
        <w:rPr>
          <w:color w:val="auto"/>
        </w:rPr>
      </w:pPr>
      <w:r>
        <w:rPr>
          <w:color w:val="auto"/>
        </w:rPr>
        <w:t>d’envisager collectivement les apports réciproques et les collaborations mutuelles pouvant émerger d’un rapprochement.</w:t>
      </w:r>
    </w:p>
    <w:p w:rsidR="00C24C75" w:rsidRDefault="00C24C75" w:rsidP="00C24C75">
      <w:pPr>
        <w:pStyle w:val="Paragraphedeliste"/>
        <w:tabs>
          <w:tab w:val="left" w:pos="5409"/>
        </w:tabs>
        <w:jc w:val="both"/>
        <w:rPr>
          <w:color w:val="auto"/>
        </w:rPr>
      </w:pPr>
    </w:p>
    <w:p w:rsidR="008F26D9" w:rsidRPr="00D2164C" w:rsidRDefault="008F26D9" w:rsidP="00C24C75">
      <w:pPr>
        <w:pStyle w:val="Paragraphedeliste"/>
        <w:tabs>
          <w:tab w:val="left" w:pos="5409"/>
        </w:tabs>
        <w:jc w:val="both"/>
        <w:rPr>
          <w:color w:val="auto"/>
        </w:rPr>
      </w:pPr>
    </w:p>
    <w:p w:rsidR="008F3BC2" w:rsidRDefault="00CB2573" w:rsidP="008F3BC2">
      <w:pPr>
        <w:jc w:val="both"/>
      </w:pPr>
      <w:r>
        <w:lastRenderedPageBreak/>
        <w:t>Ainsi, i</w:t>
      </w:r>
      <w:r w:rsidR="008F3BC2">
        <w:t>l est proposé</w:t>
      </w:r>
      <w:r w:rsidR="008F26D9">
        <w:t xml:space="preserve"> d’organiser la discussion des</w:t>
      </w:r>
      <w:r w:rsidR="008F3BC2">
        <w:t xml:space="preserve"> séminaire</w:t>
      </w:r>
      <w:r w:rsidR="008F26D9">
        <w:t>s</w:t>
      </w:r>
      <w:r w:rsidR="008F3BC2">
        <w:t xml:space="preserve"> autour des questions suivantes :</w:t>
      </w:r>
    </w:p>
    <w:p w:rsidR="008F3BC2" w:rsidRDefault="0081110E" w:rsidP="008F3BC2">
      <w:pPr>
        <w:pStyle w:val="Paragraphedeliste"/>
        <w:numPr>
          <w:ilvl w:val="0"/>
          <w:numId w:val="5"/>
        </w:numPr>
        <w:jc w:val="both"/>
      </w:pPr>
      <w:r>
        <w:t xml:space="preserve">Quelle est la </w:t>
      </w:r>
      <w:r w:rsidR="00E43239">
        <w:t>structuration de la fonction ressources humaines au sein des di</w:t>
      </w:r>
      <w:r w:rsidR="008F3BC2">
        <w:t>fférents établissements de l’U-Cible ?</w:t>
      </w:r>
      <w:r w:rsidR="00E43239">
        <w:t xml:space="preserve"> : périmètre des services RH, gestion concentrée/déconcentrée, articulation avec les directions d’établissements</w:t>
      </w:r>
      <w:r w:rsidR="00B13800">
        <w:t xml:space="preserve"> et les tutelles</w:t>
      </w:r>
      <w:r w:rsidR="004A4A76">
        <w:t>, etc…</w:t>
      </w:r>
    </w:p>
    <w:p w:rsidR="00CB2573" w:rsidRDefault="00CB2573" w:rsidP="00CB2573">
      <w:pPr>
        <w:pStyle w:val="Paragraphedeliste"/>
        <w:numPr>
          <w:ilvl w:val="0"/>
          <w:numId w:val="5"/>
        </w:numPr>
        <w:jc w:val="both"/>
      </w:pPr>
      <w:r>
        <w:t>Quels sont les différents types de personnels recrutés au sein de chaque établissement ?</w:t>
      </w:r>
    </w:p>
    <w:p w:rsidR="00C33413" w:rsidRDefault="00E43239" w:rsidP="00C33413">
      <w:pPr>
        <w:pStyle w:val="Paragraphedeliste"/>
        <w:numPr>
          <w:ilvl w:val="0"/>
          <w:numId w:val="1"/>
        </w:numPr>
        <w:jc w:val="both"/>
      </w:pPr>
      <w:r>
        <w:t xml:space="preserve">Quelles sont la politique et les pratiques </w:t>
      </w:r>
      <w:r w:rsidR="00B13800">
        <w:t xml:space="preserve">de chaque établissement </w:t>
      </w:r>
      <w:r w:rsidR="00C33413">
        <w:t xml:space="preserve">sur différentes thématiques </w:t>
      </w:r>
      <w:r w:rsidR="00B13800">
        <w:t xml:space="preserve">RH </w:t>
      </w:r>
      <w:r w:rsidR="00C33413">
        <w:t>telles que </w:t>
      </w:r>
      <w:r w:rsidR="008F26D9">
        <w:t>(à voir avec les participants)</w:t>
      </w:r>
      <w:r w:rsidR="00C33413">
        <w:t>:</w:t>
      </w:r>
    </w:p>
    <w:p w:rsidR="00C33413" w:rsidRDefault="00C33413" w:rsidP="00C33413">
      <w:pPr>
        <w:pStyle w:val="Paragraphedeliste"/>
        <w:numPr>
          <w:ilvl w:val="1"/>
          <w:numId w:val="1"/>
        </w:numPr>
        <w:jc w:val="both"/>
      </w:pPr>
      <w:r>
        <w:t>l</w:t>
      </w:r>
      <w:r w:rsidR="00E43239">
        <w:t>’accueil</w:t>
      </w:r>
      <w:r>
        <w:t xml:space="preserve"> et le service aux personnels </w:t>
      </w:r>
    </w:p>
    <w:p w:rsidR="00C33413" w:rsidRDefault="00C33413" w:rsidP="00C33413">
      <w:pPr>
        <w:pStyle w:val="Paragraphedeliste"/>
        <w:numPr>
          <w:ilvl w:val="1"/>
          <w:numId w:val="1"/>
        </w:numPr>
        <w:jc w:val="both"/>
      </w:pPr>
      <w:r>
        <w:t>les recrutements</w:t>
      </w:r>
    </w:p>
    <w:p w:rsidR="00C33413" w:rsidRDefault="00C33413" w:rsidP="00C33413">
      <w:pPr>
        <w:pStyle w:val="Paragraphedeliste"/>
        <w:numPr>
          <w:ilvl w:val="1"/>
          <w:numId w:val="1"/>
        </w:numPr>
        <w:jc w:val="both"/>
      </w:pPr>
      <w:r>
        <w:t>la formation</w:t>
      </w:r>
    </w:p>
    <w:p w:rsidR="00C33413" w:rsidRDefault="00C33413" w:rsidP="00C33413">
      <w:pPr>
        <w:pStyle w:val="Paragraphedeliste"/>
        <w:numPr>
          <w:ilvl w:val="1"/>
          <w:numId w:val="1"/>
        </w:numPr>
        <w:jc w:val="both"/>
      </w:pPr>
      <w:r>
        <w:t>la mobilité</w:t>
      </w:r>
    </w:p>
    <w:p w:rsidR="00C33413" w:rsidRDefault="00C33413" w:rsidP="00C33413">
      <w:pPr>
        <w:pStyle w:val="Paragraphedeliste"/>
        <w:numPr>
          <w:ilvl w:val="1"/>
          <w:numId w:val="1"/>
        </w:numPr>
        <w:jc w:val="both"/>
      </w:pPr>
      <w:r>
        <w:t>l’accompagnement des parcours professionnels</w:t>
      </w:r>
    </w:p>
    <w:p w:rsidR="00C33413" w:rsidRDefault="00C33413" w:rsidP="00C33413">
      <w:pPr>
        <w:pStyle w:val="Paragraphedeliste"/>
        <w:numPr>
          <w:ilvl w:val="1"/>
          <w:numId w:val="1"/>
        </w:numPr>
        <w:jc w:val="both"/>
      </w:pPr>
      <w:r>
        <w:t>la QVT</w:t>
      </w:r>
    </w:p>
    <w:p w:rsidR="00C33413" w:rsidRDefault="00C33413" w:rsidP="00C33413">
      <w:pPr>
        <w:pStyle w:val="Paragraphedeliste"/>
        <w:numPr>
          <w:ilvl w:val="1"/>
          <w:numId w:val="1"/>
        </w:numPr>
        <w:jc w:val="both"/>
      </w:pPr>
      <w:r>
        <w:t>le SIRH</w:t>
      </w:r>
    </w:p>
    <w:p w:rsidR="00B13800" w:rsidRDefault="00B13800" w:rsidP="00C33413">
      <w:pPr>
        <w:pStyle w:val="Paragraphedeliste"/>
        <w:numPr>
          <w:ilvl w:val="1"/>
          <w:numId w:val="1"/>
        </w:numPr>
        <w:jc w:val="both"/>
      </w:pPr>
      <w:r>
        <w:t>la rémunération et l’intéressement</w:t>
      </w:r>
    </w:p>
    <w:p w:rsidR="00C33413" w:rsidRDefault="00C33413" w:rsidP="00C33413">
      <w:pPr>
        <w:pStyle w:val="Paragraphedeliste"/>
        <w:numPr>
          <w:ilvl w:val="1"/>
          <w:numId w:val="1"/>
        </w:numPr>
        <w:jc w:val="both"/>
      </w:pPr>
      <w:r>
        <w:t>la paye</w:t>
      </w:r>
    </w:p>
    <w:p w:rsidR="00C33413" w:rsidRDefault="00C33413" w:rsidP="00C33413">
      <w:pPr>
        <w:pStyle w:val="Paragraphedeliste"/>
        <w:numPr>
          <w:ilvl w:val="1"/>
          <w:numId w:val="1"/>
        </w:numPr>
        <w:jc w:val="both"/>
      </w:pPr>
      <w:r>
        <w:t>le suivi de la masse salariale et des emplois</w:t>
      </w:r>
    </w:p>
    <w:p w:rsidR="008F26D9" w:rsidRDefault="008F26D9" w:rsidP="00C33413">
      <w:pPr>
        <w:pStyle w:val="Paragraphedeliste"/>
        <w:numPr>
          <w:ilvl w:val="1"/>
          <w:numId w:val="1"/>
        </w:numPr>
        <w:jc w:val="both"/>
      </w:pPr>
      <w:r>
        <w:t>l’évaluation</w:t>
      </w:r>
    </w:p>
    <w:p w:rsidR="00C33413" w:rsidRDefault="00B13800" w:rsidP="00C33413">
      <w:pPr>
        <w:pStyle w:val="Paragraphedeliste"/>
        <w:numPr>
          <w:ilvl w:val="0"/>
          <w:numId w:val="1"/>
        </w:numPr>
        <w:jc w:val="both"/>
      </w:pPr>
      <w:r>
        <w:t>Quelles sont les visions de la fonction </w:t>
      </w:r>
      <w:r w:rsidR="004A4A76">
        <w:t>RH et des métiers associés</w:t>
      </w:r>
      <w:r>
        <w:t>?</w:t>
      </w:r>
      <w:r w:rsidR="004A4A76">
        <w:t xml:space="preserve"> Quels sont les points de convergence et de divergence que l’on peut relever en fonction des différents environnements professionnels et institutionnels ?</w:t>
      </w:r>
    </w:p>
    <w:p w:rsidR="00B13800" w:rsidRDefault="00700D71" w:rsidP="00C33413">
      <w:pPr>
        <w:pStyle w:val="Paragraphedeliste"/>
        <w:numPr>
          <w:ilvl w:val="0"/>
          <w:numId w:val="1"/>
        </w:numPr>
        <w:jc w:val="both"/>
      </w:pPr>
      <w:r>
        <w:t>Quels sont les enjeux, les besoins,</w:t>
      </w:r>
      <w:r w:rsidR="004A4A76">
        <w:t xml:space="preserve"> les évolutions identifiés pour les prochaines années ?</w:t>
      </w:r>
    </w:p>
    <w:p w:rsidR="008F26D9" w:rsidRDefault="008F26D9" w:rsidP="008F3BC2">
      <w:pPr>
        <w:pStyle w:val="Titre2"/>
        <w:pBdr>
          <w:bottom w:val="single" w:sz="4" w:space="1" w:color="00000A"/>
        </w:pBdr>
      </w:pPr>
    </w:p>
    <w:p w:rsidR="008F3BC2" w:rsidRDefault="008F3BC2" w:rsidP="008F3BC2">
      <w:pPr>
        <w:pStyle w:val="Titre2"/>
        <w:pBdr>
          <w:bottom w:val="single" w:sz="4" w:space="1" w:color="00000A"/>
        </w:pBdr>
      </w:pPr>
      <w:bookmarkStart w:id="0" w:name="_GoBack"/>
      <w:bookmarkEnd w:id="0"/>
      <w:r>
        <w:t>Pistes d’objectifs possibles à atteindre en commun</w:t>
      </w:r>
      <w:r w:rsidR="004A4A76">
        <w:t xml:space="preserve"> (à l’issue des 2 séminaires)</w:t>
      </w:r>
    </w:p>
    <w:p w:rsidR="00700D71" w:rsidRPr="004A4A76" w:rsidRDefault="00700D71" w:rsidP="00CE4BEE">
      <w:pPr>
        <w:pStyle w:val="Paragraphedeliste"/>
        <w:jc w:val="both"/>
        <w:rPr>
          <w:rFonts w:asciiTheme="majorHAnsi" w:eastAsiaTheme="majorEastAsia" w:hAnsiTheme="majorHAnsi" w:cstheme="majorBidi"/>
          <w:b/>
          <w:bCs/>
          <w:i/>
          <w:color w:val="000000" w:themeColor="text1"/>
          <w:sz w:val="24"/>
          <w:szCs w:val="24"/>
        </w:rPr>
      </w:pPr>
    </w:p>
    <w:p w:rsidR="00E43239" w:rsidRPr="00E43239" w:rsidRDefault="00E43239" w:rsidP="00E43239">
      <w:pPr>
        <w:pStyle w:val="Paragraphedeliste"/>
        <w:numPr>
          <w:ilvl w:val="0"/>
          <w:numId w:val="2"/>
        </w:numPr>
        <w:jc w:val="both"/>
        <w:rPr>
          <w:rFonts w:asciiTheme="majorHAnsi" w:eastAsiaTheme="majorEastAsia" w:hAnsiTheme="majorHAnsi" w:cstheme="majorBidi"/>
          <w:b/>
          <w:bCs/>
          <w:i/>
          <w:color w:val="000000" w:themeColor="text1"/>
          <w:sz w:val="24"/>
          <w:szCs w:val="24"/>
        </w:rPr>
      </w:pPr>
      <w:r>
        <w:t>Constituer une ca</w:t>
      </w:r>
      <w:r w:rsidR="00B13800">
        <w:t xml:space="preserve">rtographie des organisations des </w:t>
      </w:r>
      <w:r>
        <w:t>établissement</w:t>
      </w:r>
      <w:r w:rsidR="00B13800">
        <w:t>s représentés</w:t>
      </w:r>
      <w:r>
        <w:t xml:space="preserve"> en matière RH</w:t>
      </w:r>
    </w:p>
    <w:p w:rsidR="00E43239" w:rsidRPr="00CE4BEE" w:rsidRDefault="00E43239" w:rsidP="00E43239">
      <w:pPr>
        <w:pStyle w:val="Paragraphedeliste"/>
        <w:numPr>
          <w:ilvl w:val="0"/>
          <w:numId w:val="2"/>
        </w:numPr>
        <w:jc w:val="both"/>
        <w:rPr>
          <w:rFonts w:eastAsiaTheme="majorEastAsia" w:cstheme="majorBidi"/>
          <w:bCs/>
          <w:color w:val="000000" w:themeColor="text1"/>
        </w:rPr>
      </w:pPr>
      <w:r w:rsidRPr="00CE4BEE">
        <w:rPr>
          <w:rFonts w:eastAsiaTheme="majorEastAsia" w:cstheme="majorBidi"/>
          <w:bCs/>
          <w:color w:val="000000" w:themeColor="text1"/>
        </w:rPr>
        <w:t>Identifier des objets sur lesquels des collaborations mutuelles pourraient se développer sans attendre la création d’U-CIBLE</w:t>
      </w:r>
    </w:p>
    <w:p w:rsidR="00CE4BEE" w:rsidRDefault="00CE4BEE" w:rsidP="00CE4BEE">
      <w:pPr>
        <w:pStyle w:val="Paragraphedeliste"/>
        <w:jc w:val="both"/>
        <w:rPr>
          <w:rFonts w:asciiTheme="majorHAnsi" w:eastAsiaTheme="majorEastAsia" w:hAnsiTheme="majorHAnsi" w:cstheme="majorBidi"/>
          <w:b/>
          <w:bCs/>
          <w:i/>
          <w:color w:val="000000" w:themeColor="text1"/>
          <w:sz w:val="24"/>
          <w:szCs w:val="24"/>
        </w:rPr>
      </w:pPr>
    </w:p>
    <w:p w:rsidR="008F3BC2" w:rsidRPr="008B7814" w:rsidRDefault="001B1345" w:rsidP="00E43239">
      <w:pPr>
        <w:pStyle w:val="Paragraphedeliste"/>
        <w:numPr>
          <w:ilvl w:val="0"/>
          <w:numId w:val="2"/>
        </w:num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Rédactrices</w:t>
      </w:r>
      <w:r w:rsidR="008F3BC2" w:rsidRPr="008B7814">
        <w:rPr>
          <w:rFonts w:asciiTheme="majorHAnsi" w:eastAsiaTheme="majorEastAsia" w:hAnsiTheme="majorHAnsi" w:cstheme="majorBidi"/>
          <w:b/>
          <w:bCs/>
          <w:i/>
          <w:color w:val="000000" w:themeColor="text1"/>
          <w:sz w:val="24"/>
          <w:szCs w:val="24"/>
        </w:rPr>
        <w:t> :</w:t>
      </w:r>
      <w:r w:rsidR="008F3BC2">
        <w:rPr>
          <w:rFonts w:asciiTheme="majorHAnsi" w:eastAsiaTheme="majorEastAsia" w:hAnsiTheme="majorHAnsi" w:cstheme="majorBidi"/>
          <w:b/>
          <w:bCs/>
          <w:i/>
          <w:color w:val="000000" w:themeColor="text1"/>
          <w:sz w:val="24"/>
          <w:szCs w:val="24"/>
        </w:rPr>
        <w:t xml:space="preserve"> </w:t>
      </w:r>
      <w:r w:rsidR="008F26D9">
        <w:rPr>
          <w:rFonts w:asciiTheme="majorHAnsi" w:eastAsiaTheme="majorEastAsia" w:hAnsiTheme="majorHAnsi" w:cstheme="majorBidi"/>
          <w:b/>
          <w:bCs/>
          <w:i/>
          <w:color w:val="000000" w:themeColor="text1"/>
          <w:sz w:val="24"/>
          <w:szCs w:val="24"/>
        </w:rPr>
        <w:t>Claire CORMAN (UPEM), Catherine ODIN (IFSTTAR)</w:t>
      </w:r>
    </w:p>
    <w:p w:rsidR="008F3BC2" w:rsidRDefault="008F3BC2" w:rsidP="008F3BC2"/>
    <w:p w:rsidR="009C1260" w:rsidRDefault="001B1345"/>
    <w:sectPr w:rsidR="009C1260"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56F" w:rsidRDefault="00CE4BEE">
      <w:pPr>
        <w:spacing w:after="0" w:line="240" w:lineRule="auto"/>
      </w:pPr>
      <w:r>
        <w:separator/>
      </w:r>
    </w:p>
  </w:endnote>
  <w:endnote w:type="continuationSeparator" w:id="0">
    <w:p w:rsidR="00EB556F" w:rsidRDefault="00CE4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56F" w:rsidRDefault="00CE4BEE">
      <w:pPr>
        <w:spacing w:after="0" w:line="240" w:lineRule="auto"/>
      </w:pPr>
      <w:r>
        <w:separator/>
      </w:r>
    </w:p>
  </w:footnote>
  <w:footnote w:type="continuationSeparator" w:id="0">
    <w:p w:rsidR="00EB556F" w:rsidRDefault="00CE4B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DA9" w:rsidRDefault="001B1345" w:rsidP="00D16DA9">
    <w:pPr>
      <w:pStyle w:val="Titre1"/>
      <w:spacing w:before="360" w:after="120"/>
      <w:ind w:left="1843" w:right="-709"/>
      <w:jc w:val="both"/>
      <w:rPr>
        <w:sz w:val="22"/>
        <w:szCs w:val="22"/>
      </w:rPr>
    </w:pPr>
  </w:p>
  <w:p w:rsidR="00D16DA9" w:rsidRPr="00D16DA9" w:rsidRDefault="00700D71"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59264" behindDoc="0" locked="0" layoutInCell="1" allowOverlap="1">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0220" cy="1111885"/>
                  </a:xfrm>
                  <a:prstGeom prst="rect">
                    <a:avLst/>
                  </a:prstGeom>
                  <a:noFill/>
                  <a:ln>
                    <a:noFill/>
                  </a:ln>
                </pic:spPr>
              </pic:pic>
            </a:graphicData>
          </a:graphic>
        </wp:anchor>
      </w:drawing>
    </w:r>
    <w:r w:rsidRPr="00D16DA9">
      <w:rPr>
        <w:sz w:val="22"/>
        <w:szCs w:val="22"/>
      </w:rPr>
      <w:t>Les séminaires de connaissance réciproque : et si nous faisions connaissance ?</w:t>
    </w:r>
  </w:p>
  <w:p w:rsidR="00D16DA9" w:rsidRDefault="00700D71"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1B134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F3BC2"/>
    <w:rsid w:val="000655A2"/>
    <w:rsid w:val="00090B22"/>
    <w:rsid w:val="001B1345"/>
    <w:rsid w:val="004A4A76"/>
    <w:rsid w:val="0054059D"/>
    <w:rsid w:val="005C2862"/>
    <w:rsid w:val="006760EC"/>
    <w:rsid w:val="00700D71"/>
    <w:rsid w:val="007730E2"/>
    <w:rsid w:val="0081110E"/>
    <w:rsid w:val="008F26D9"/>
    <w:rsid w:val="008F3BC2"/>
    <w:rsid w:val="009753D1"/>
    <w:rsid w:val="00A053F2"/>
    <w:rsid w:val="00A407C3"/>
    <w:rsid w:val="00B13800"/>
    <w:rsid w:val="00C24C75"/>
    <w:rsid w:val="00C33413"/>
    <w:rsid w:val="00C43D45"/>
    <w:rsid w:val="00CB2573"/>
    <w:rsid w:val="00CE4BEE"/>
    <w:rsid w:val="00D67F0C"/>
    <w:rsid w:val="00E4109C"/>
    <w:rsid w:val="00E43239"/>
    <w:rsid w:val="00EB556F"/>
    <w:rsid w:val="00F913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C2"/>
    <w:rPr>
      <w:color w:val="00000A"/>
    </w:rPr>
  </w:style>
  <w:style w:type="paragraph" w:styleId="Titre1">
    <w:name w:val="heading 1"/>
    <w:basedOn w:val="Normal"/>
    <w:next w:val="Normal"/>
    <w:link w:val="Titre1Car"/>
    <w:uiPriority w:val="9"/>
    <w:qFormat/>
    <w:rsid w:val="008F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F3B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8F3B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F3BC2"/>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8F3BC2"/>
    <w:pPr>
      <w:ind w:left="720"/>
      <w:contextualSpacing/>
    </w:pPr>
  </w:style>
  <w:style w:type="paragraph" w:styleId="NormalWeb">
    <w:name w:val="Normal (Web)"/>
    <w:basedOn w:val="Normal"/>
    <w:uiPriority w:val="99"/>
    <w:unhideWhenUsed/>
    <w:rsid w:val="008F3BC2"/>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8F3BC2"/>
    <w:pPr>
      <w:tabs>
        <w:tab w:val="center" w:pos="4536"/>
        <w:tab w:val="right" w:pos="9072"/>
      </w:tabs>
      <w:spacing w:after="0" w:line="240" w:lineRule="auto"/>
    </w:pPr>
  </w:style>
  <w:style w:type="character" w:customStyle="1" w:styleId="En-tteCar">
    <w:name w:val="En-tête Car"/>
    <w:basedOn w:val="Policepardfaut"/>
    <w:link w:val="En-tte"/>
    <w:uiPriority w:val="99"/>
    <w:rsid w:val="008F3BC2"/>
    <w:rPr>
      <w:color w:val="00000A"/>
    </w:rPr>
  </w:style>
  <w:style w:type="character" w:customStyle="1" w:styleId="object">
    <w:name w:val="object"/>
    <w:basedOn w:val="Policepardfaut"/>
    <w:rsid w:val="008F3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BC2"/>
    <w:rPr>
      <w:color w:val="00000A"/>
    </w:rPr>
  </w:style>
  <w:style w:type="paragraph" w:styleId="Titre1">
    <w:name w:val="heading 1"/>
    <w:basedOn w:val="Normal"/>
    <w:next w:val="Normal"/>
    <w:link w:val="Titre1Car"/>
    <w:uiPriority w:val="9"/>
    <w:qFormat/>
    <w:rsid w:val="008F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F3BC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8F3B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F3BC2"/>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8F3BC2"/>
    <w:pPr>
      <w:ind w:left="720"/>
      <w:contextualSpacing/>
    </w:pPr>
  </w:style>
  <w:style w:type="paragraph" w:styleId="NormalWeb">
    <w:name w:val="Normal (Web)"/>
    <w:basedOn w:val="Normal"/>
    <w:uiPriority w:val="99"/>
    <w:unhideWhenUsed/>
    <w:rsid w:val="008F3BC2"/>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8F3BC2"/>
    <w:pPr>
      <w:tabs>
        <w:tab w:val="center" w:pos="4536"/>
        <w:tab w:val="right" w:pos="9072"/>
      </w:tabs>
      <w:spacing w:after="0" w:line="240" w:lineRule="auto"/>
    </w:pPr>
  </w:style>
  <w:style w:type="character" w:customStyle="1" w:styleId="En-tteCar">
    <w:name w:val="En-tête Car"/>
    <w:basedOn w:val="Policepardfaut"/>
    <w:link w:val="En-tte"/>
    <w:uiPriority w:val="99"/>
    <w:rsid w:val="008F3BC2"/>
    <w:rPr>
      <w:color w:val="00000A"/>
    </w:rPr>
  </w:style>
  <w:style w:type="character" w:customStyle="1" w:styleId="object">
    <w:name w:val="object"/>
    <w:basedOn w:val="Policepardfaut"/>
    <w:rsid w:val="008F3BC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553</Words>
  <Characters>3043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Corman</dc:creator>
  <cp:lastModifiedBy>fragnet</cp:lastModifiedBy>
  <cp:revision>6</cp:revision>
  <dcterms:created xsi:type="dcterms:W3CDTF">2018-01-26T09:56:00Z</dcterms:created>
  <dcterms:modified xsi:type="dcterms:W3CDTF">2018-03-07T13:08:00Z</dcterms:modified>
</cp:coreProperties>
</file>