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C21" w:rsidRPr="0057351C" w:rsidRDefault="0068212E" w:rsidP="00891721">
      <w:pPr>
        <w:pStyle w:val="NormalWeb"/>
        <w:rPr>
          <w:rFonts w:asciiTheme="majorHAnsi" w:eastAsiaTheme="majorEastAsia" w:hAnsiTheme="majorHAnsi" w:cstheme="majorBidi"/>
          <w:b/>
          <w:bCs/>
          <w:color w:val="000000" w:themeColor="text1"/>
          <w:lang w:eastAsia="en-US"/>
        </w:rPr>
      </w:pPr>
      <w:r w:rsidRPr="0057351C">
        <w:rPr>
          <w:rFonts w:asciiTheme="majorHAnsi" w:eastAsiaTheme="majorEastAsia" w:hAnsiTheme="majorHAnsi" w:cstheme="majorBidi"/>
          <w:b/>
          <w:bCs/>
          <w:color w:val="000000" w:themeColor="text1"/>
          <w:lang w:eastAsia="en-US"/>
        </w:rPr>
        <w:t>Séminaire des</w:t>
      </w:r>
      <w:r w:rsidR="00063ABB">
        <w:rPr>
          <w:rFonts w:asciiTheme="majorHAnsi" w:eastAsiaTheme="majorEastAsia" w:hAnsiTheme="majorHAnsi" w:cstheme="majorBidi"/>
          <w:b/>
          <w:bCs/>
          <w:color w:val="000000" w:themeColor="text1"/>
          <w:lang w:eastAsia="en-US"/>
        </w:rPr>
        <w:t xml:space="preserve"> </w:t>
      </w:r>
      <w:r w:rsidR="00B95E9F">
        <w:rPr>
          <w:rFonts w:asciiTheme="majorHAnsi" w:eastAsiaTheme="majorEastAsia" w:hAnsiTheme="majorHAnsi" w:cstheme="majorBidi"/>
          <w:b/>
          <w:bCs/>
          <w:color w:val="000000" w:themeColor="text1"/>
          <w:lang w:eastAsia="en-US"/>
        </w:rPr>
        <w:t xml:space="preserve">10 et 11 janvier </w:t>
      </w:r>
      <w:r w:rsidR="00F32157">
        <w:rPr>
          <w:rFonts w:asciiTheme="majorHAnsi" w:eastAsiaTheme="majorEastAsia" w:hAnsiTheme="majorHAnsi" w:cstheme="majorBidi"/>
          <w:b/>
          <w:bCs/>
          <w:color w:val="000000" w:themeColor="text1"/>
          <w:lang w:eastAsia="en-US"/>
        </w:rPr>
        <w:t xml:space="preserve"> à l’IFSTTAR - </w:t>
      </w:r>
      <w:r w:rsidR="00B95E9F">
        <w:rPr>
          <w:rFonts w:asciiTheme="majorHAnsi" w:eastAsiaTheme="majorEastAsia" w:hAnsiTheme="majorHAnsi" w:cstheme="majorBidi"/>
          <w:b/>
          <w:bCs/>
          <w:color w:val="000000" w:themeColor="text1"/>
          <w:lang w:eastAsia="en-US"/>
        </w:rPr>
        <w:t>BRON</w:t>
      </w:r>
    </w:p>
    <w:p w:rsidR="00055C21" w:rsidRDefault="00055C21" w:rsidP="001F5BF9">
      <w:pPr>
        <w:pStyle w:val="Titre1"/>
        <w:pBdr>
          <w:bottom w:val="single" w:sz="4" w:space="1" w:color="00000A"/>
        </w:pBdr>
        <w:shd w:val="clear" w:color="auto" w:fill="F2F2F2" w:themeFill="background1" w:themeFillShade="F2"/>
        <w:spacing w:before="120" w:after="120"/>
        <w:jc w:val="center"/>
      </w:pPr>
      <w:r>
        <w:t xml:space="preserve">ATELIER </w:t>
      </w:r>
    </w:p>
    <w:p w:rsidR="00C01D82" w:rsidRDefault="00B95E9F" w:rsidP="001F5BF9">
      <w:pPr>
        <w:pStyle w:val="Titre1"/>
        <w:pBdr>
          <w:bottom w:val="single" w:sz="4" w:space="1" w:color="00000A"/>
        </w:pBdr>
        <w:shd w:val="clear" w:color="auto" w:fill="F2F2F2" w:themeFill="background1" w:themeFillShade="F2"/>
        <w:spacing w:before="120" w:after="120"/>
        <w:jc w:val="center"/>
      </w:pPr>
      <w:r>
        <w:rPr>
          <w:rStyle w:val="Accentuation"/>
        </w:rPr>
        <w:t>VEP, VAP, VAE, quels dispositifs, quels contrôles ?</w:t>
      </w:r>
    </w:p>
    <w:p w:rsidR="00741216" w:rsidRDefault="00741216">
      <w:pPr>
        <w:pStyle w:val="Titre1"/>
        <w:pBdr>
          <w:bottom w:val="single" w:sz="4" w:space="1" w:color="00000A"/>
        </w:pBdr>
        <w:rPr>
          <w:rStyle w:val="Titre2Car"/>
        </w:rPr>
      </w:pPr>
    </w:p>
    <w:p w:rsidR="00C01D82" w:rsidRDefault="00D16DA9">
      <w:pPr>
        <w:pStyle w:val="Titre1"/>
        <w:pBdr>
          <w:bottom w:val="single" w:sz="4" w:space="1" w:color="00000A"/>
        </w:pBdr>
        <w:rPr>
          <w:rStyle w:val="Titre2Car"/>
        </w:rPr>
      </w:pPr>
      <w:r>
        <w:rPr>
          <w:rStyle w:val="Titre2Car"/>
        </w:rPr>
        <w:t>Contexte</w:t>
      </w:r>
    </w:p>
    <w:p w:rsidR="00E046BE" w:rsidRDefault="00E046BE" w:rsidP="0013462B">
      <w:pPr>
        <w:tabs>
          <w:tab w:val="left" w:pos="5409"/>
        </w:tabs>
        <w:jc w:val="both"/>
      </w:pPr>
    </w:p>
    <w:p w:rsidR="0013462B" w:rsidRPr="00741216" w:rsidRDefault="0013462B" w:rsidP="0013462B">
      <w:pPr>
        <w:tabs>
          <w:tab w:val="left" w:pos="5409"/>
        </w:tabs>
        <w:jc w:val="both"/>
        <w:rPr>
          <w:sz w:val="24"/>
          <w:szCs w:val="24"/>
        </w:rPr>
      </w:pPr>
      <w:r w:rsidRPr="00741216">
        <w:rPr>
          <w:sz w:val="24"/>
          <w:szCs w:val="24"/>
        </w:rPr>
        <w:t>La validation d’acquis constitue sans conteste une avancée majeure dans l’univers de la formation professionnelle. L’année 2017 fête les 15 ans de ce dispositif novateur, qui propose l’environnement professionnel comme lieu d’acquisition de connaissances et de compétences</w:t>
      </w:r>
      <w:r w:rsidR="002F66FD" w:rsidRPr="00741216">
        <w:rPr>
          <w:sz w:val="24"/>
          <w:szCs w:val="24"/>
        </w:rPr>
        <w:t xml:space="preserve">. </w:t>
      </w:r>
      <w:r w:rsidRPr="00741216">
        <w:rPr>
          <w:sz w:val="24"/>
          <w:szCs w:val="24"/>
        </w:rPr>
        <w:t xml:space="preserve">A partir de 2002, le législateur a donc reconnu que les entreprises et les organisations étaient des lieux d’apprentissage </w:t>
      </w:r>
      <w:r w:rsidR="002F66FD" w:rsidRPr="00741216">
        <w:rPr>
          <w:sz w:val="24"/>
          <w:szCs w:val="24"/>
        </w:rPr>
        <w:t xml:space="preserve">et de développement de compétences </w:t>
      </w:r>
      <w:r w:rsidRPr="00741216">
        <w:rPr>
          <w:sz w:val="24"/>
          <w:szCs w:val="24"/>
        </w:rPr>
        <w:t xml:space="preserve">et que les établissements d’enseignement et de formation </w:t>
      </w:r>
      <w:r w:rsidR="00A61C39" w:rsidRPr="00741216">
        <w:rPr>
          <w:sz w:val="24"/>
          <w:szCs w:val="24"/>
        </w:rPr>
        <w:t>n’en avaient</w:t>
      </w:r>
      <w:r w:rsidRPr="00741216">
        <w:rPr>
          <w:sz w:val="24"/>
          <w:szCs w:val="24"/>
        </w:rPr>
        <w:t xml:space="preserve"> </w:t>
      </w:r>
      <w:r w:rsidR="00A61C39" w:rsidRPr="00741216">
        <w:rPr>
          <w:sz w:val="24"/>
          <w:szCs w:val="24"/>
        </w:rPr>
        <w:t>plus l’exclusivité</w:t>
      </w:r>
      <w:r w:rsidR="002F66FD" w:rsidRPr="00741216">
        <w:rPr>
          <w:sz w:val="24"/>
          <w:szCs w:val="24"/>
        </w:rPr>
        <w:t> !</w:t>
      </w:r>
    </w:p>
    <w:p w:rsidR="00A61C39" w:rsidRPr="00741216" w:rsidRDefault="002F66FD" w:rsidP="0013462B">
      <w:pPr>
        <w:tabs>
          <w:tab w:val="left" w:pos="5409"/>
        </w:tabs>
        <w:jc w:val="both"/>
        <w:rPr>
          <w:sz w:val="24"/>
          <w:szCs w:val="24"/>
        </w:rPr>
      </w:pPr>
      <w:r w:rsidRPr="00741216">
        <w:rPr>
          <w:sz w:val="24"/>
          <w:szCs w:val="24"/>
        </w:rPr>
        <w:t>Si la validation d’acquis s’est beaucoup démocratisée d</w:t>
      </w:r>
      <w:r w:rsidR="00A61C39" w:rsidRPr="00741216">
        <w:rPr>
          <w:sz w:val="24"/>
          <w:szCs w:val="24"/>
        </w:rPr>
        <w:t xml:space="preserve">ans l’enseignement supérieur, la bataille n’a pas été simple. Les cursus </w:t>
      </w:r>
      <w:r w:rsidRPr="00741216">
        <w:rPr>
          <w:sz w:val="24"/>
          <w:szCs w:val="24"/>
        </w:rPr>
        <w:t xml:space="preserve">universitaires </w:t>
      </w:r>
      <w:r w:rsidR="00A61C39" w:rsidRPr="00741216">
        <w:rPr>
          <w:sz w:val="24"/>
          <w:szCs w:val="24"/>
        </w:rPr>
        <w:t>étaient construits pour préparer à des métiers et le fait que des métiers puissent en sens inverse valider des diplômes constituait un changement de paradigme que la communauté appréhendait</w:t>
      </w:r>
      <w:r w:rsidRPr="00741216">
        <w:rPr>
          <w:sz w:val="24"/>
          <w:szCs w:val="24"/>
        </w:rPr>
        <w:t xml:space="preserve">, à l’époque, </w:t>
      </w:r>
      <w:r w:rsidR="00A61C39" w:rsidRPr="00741216">
        <w:rPr>
          <w:sz w:val="24"/>
          <w:szCs w:val="24"/>
        </w:rPr>
        <w:t xml:space="preserve">de manière très hétérogène. </w:t>
      </w:r>
      <w:r w:rsidRPr="00741216">
        <w:rPr>
          <w:sz w:val="24"/>
          <w:szCs w:val="24"/>
        </w:rPr>
        <w:t>Ceci c’est donc joué par le biais de négociations internes et c</w:t>
      </w:r>
      <w:r w:rsidR="00A61C39" w:rsidRPr="00741216">
        <w:rPr>
          <w:sz w:val="24"/>
          <w:szCs w:val="24"/>
        </w:rPr>
        <w:t xml:space="preserve">’est justement </w:t>
      </w:r>
      <w:r w:rsidRPr="00741216">
        <w:rPr>
          <w:sz w:val="24"/>
          <w:szCs w:val="24"/>
        </w:rPr>
        <w:t xml:space="preserve">cet historique qui </w:t>
      </w:r>
      <w:r w:rsidR="00A61C39" w:rsidRPr="00741216">
        <w:rPr>
          <w:sz w:val="24"/>
          <w:szCs w:val="24"/>
        </w:rPr>
        <w:t>explique que les pratiques de validation d’acquis soient différentes d’un établissement à l’autre.</w:t>
      </w:r>
    </w:p>
    <w:p w:rsidR="00E26F7F" w:rsidRDefault="00E26F7F" w:rsidP="0013462B">
      <w:pPr>
        <w:tabs>
          <w:tab w:val="left" w:pos="5409"/>
        </w:tabs>
        <w:jc w:val="both"/>
        <w:rPr>
          <w:sz w:val="24"/>
          <w:szCs w:val="24"/>
        </w:rPr>
      </w:pPr>
      <w:r w:rsidRPr="00741216">
        <w:rPr>
          <w:sz w:val="24"/>
          <w:szCs w:val="24"/>
        </w:rPr>
        <w:t>Il est important de rappeler que la validation d’acquis revêt différentes formes ; initialement amenée par le décret de 85, la VAP (validation des acquis professionnels) permet à un candidat d’intégrer une formation sans avoir le diplôme inférieur obligatoire à son accès. Le décret 2002 va plus loin en donnant un « droit » à toute personne ayant une expérience professionnelle de plus de 3 ans de valider tout ou partie d’un diplôme. Le décret</w:t>
      </w:r>
      <w:r w:rsidR="001C36B4">
        <w:rPr>
          <w:sz w:val="24"/>
          <w:szCs w:val="24"/>
        </w:rPr>
        <w:t xml:space="preserve"> de juillet 2017 applicable depuis le</w:t>
      </w:r>
      <w:r w:rsidRPr="00741216">
        <w:rPr>
          <w:sz w:val="24"/>
          <w:szCs w:val="24"/>
        </w:rPr>
        <w:t xml:space="preserve"> 1</w:t>
      </w:r>
      <w:r w:rsidRPr="00741216">
        <w:rPr>
          <w:sz w:val="24"/>
          <w:szCs w:val="24"/>
          <w:vertAlign w:val="superscript"/>
        </w:rPr>
        <w:t>er</w:t>
      </w:r>
      <w:r w:rsidR="001C36B4">
        <w:rPr>
          <w:sz w:val="24"/>
          <w:szCs w:val="24"/>
        </w:rPr>
        <w:t xml:space="preserve"> octobre 2017 relatif</w:t>
      </w:r>
      <w:r w:rsidRPr="00741216">
        <w:rPr>
          <w:sz w:val="24"/>
          <w:szCs w:val="24"/>
        </w:rPr>
        <w:t xml:space="preserve"> à la loi travail</w:t>
      </w:r>
      <w:r w:rsidR="001C36B4">
        <w:rPr>
          <w:sz w:val="24"/>
          <w:szCs w:val="24"/>
        </w:rPr>
        <w:t>,</w:t>
      </w:r>
      <w:r w:rsidRPr="00741216">
        <w:rPr>
          <w:sz w:val="24"/>
          <w:szCs w:val="24"/>
        </w:rPr>
        <w:t xml:space="preserve"> abaisse le nombre d’année</w:t>
      </w:r>
      <w:r w:rsidR="00054EE0">
        <w:rPr>
          <w:sz w:val="24"/>
          <w:szCs w:val="24"/>
        </w:rPr>
        <w:t>s</w:t>
      </w:r>
      <w:bookmarkStart w:id="0" w:name="_GoBack"/>
      <w:bookmarkEnd w:id="0"/>
      <w:r w:rsidRPr="00741216">
        <w:rPr>
          <w:sz w:val="24"/>
          <w:szCs w:val="24"/>
        </w:rPr>
        <w:t xml:space="preserve"> d’expérience de 3 à 1 an.</w:t>
      </w:r>
    </w:p>
    <w:p w:rsidR="00741216" w:rsidRPr="00741216" w:rsidRDefault="00741216" w:rsidP="0013462B">
      <w:pPr>
        <w:tabs>
          <w:tab w:val="left" w:pos="5409"/>
        </w:tabs>
        <w:jc w:val="both"/>
        <w:rPr>
          <w:sz w:val="24"/>
          <w:szCs w:val="24"/>
        </w:rPr>
      </w:pPr>
    </w:p>
    <w:p w:rsidR="00E046BE" w:rsidRPr="00741216" w:rsidRDefault="00E046BE" w:rsidP="00E046BE">
      <w:pPr>
        <w:pStyle w:val="Titre1"/>
        <w:pBdr>
          <w:bottom w:val="single" w:sz="4" w:space="1" w:color="00000A"/>
        </w:pBdr>
        <w:rPr>
          <w:rStyle w:val="Titre2Car"/>
          <w:rFonts w:asciiTheme="minorHAnsi" w:hAnsiTheme="minorHAnsi"/>
          <w:sz w:val="24"/>
          <w:szCs w:val="24"/>
        </w:rPr>
      </w:pPr>
      <w:r w:rsidRPr="00741216">
        <w:rPr>
          <w:rStyle w:val="Titre2Car"/>
          <w:rFonts w:asciiTheme="minorHAnsi" w:hAnsiTheme="minorHAnsi"/>
          <w:sz w:val="24"/>
          <w:szCs w:val="24"/>
        </w:rPr>
        <w:lastRenderedPageBreak/>
        <w:t xml:space="preserve">Objectifs </w:t>
      </w:r>
    </w:p>
    <w:p w:rsidR="001C36B4" w:rsidRDefault="001C36B4" w:rsidP="00E046BE">
      <w:pPr>
        <w:jc w:val="both"/>
        <w:rPr>
          <w:sz w:val="24"/>
          <w:szCs w:val="24"/>
        </w:rPr>
      </w:pPr>
    </w:p>
    <w:p w:rsidR="00E046BE" w:rsidRPr="00741216" w:rsidRDefault="00E046BE" w:rsidP="00E046BE">
      <w:pPr>
        <w:jc w:val="both"/>
        <w:rPr>
          <w:sz w:val="24"/>
          <w:szCs w:val="24"/>
        </w:rPr>
      </w:pPr>
      <w:r w:rsidRPr="00741216">
        <w:rPr>
          <w:sz w:val="24"/>
          <w:szCs w:val="24"/>
        </w:rPr>
        <w:t xml:space="preserve">L’objectif de l’atelier est d’abord une connaissance </w:t>
      </w:r>
      <w:r w:rsidR="003A3D94" w:rsidRPr="00741216">
        <w:rPr>
          <w:sz w:val="24"/>
          <w:szCs w:val="24"/>
        </w:rPr>
        <w:t xml:space="preserve">réciproque et </w:t>
      </w:r>
      <w:r w:rsidRPr="00741216">
        <w:rPr>
          <w:sz w:val="24"/>
          <w:szCs w:val="24"/>
        </w:rPr>
        <w:t>partagée des dispositifs de validation d’acquis dans les différents établissement</w:t>
      </w:r>
      <w:r w:rsidR="003A3D94" w:rsidRPr="00741216">
        <w:rPr>
          <w:sz w:val="24"/>
          <w:szCs w:val="24"/>
        </w:rPr>
        <w:t>s</w:t>
      </w:r>
      <w:r w:rsidR="00C5493A" w:rsidRPr="00741216">
        <w:rPr>
          <w:sz w:val="24"/>
          <w:szCs w:val="24"/>
        </w:rPr>
        <w:t>. Une présentation d’une définition générale de la validation d’</w:t>
      </w:r>
      <w:r w:rsidR="003A3D94" w:rsidRPr="00741216">
        <w:rPr>
          <w:sz w:val="24"/>
          <w:szCs w:val="24"/>
        </w:rPr>
        <w:t>acquis</w:t>
      </w:r>
      <w:r w:rsidR="00C5493A" w:rsidRPr="00741216">
        <w:rPr>
          <w:sz w:val="24"/>
          <w:szCs w:val="24"/>
        </w:rPr>
        <w:t xml:space="preserve"> et </w:t>
      </w:r>
      <w:r w:rsidR="003A3D94" w:rsidRPr="00741216">
        <w:rPr>
          <w:sz w:val="24"/>
          <w:szCs w:val="24"/>
        </w:rPr>
        <w:t xml:space="preserve">du fonctionnement </w:t>
      </w:r>
      <w:r w:rsidR="00C5493A" w:rsidRPr="00741216">
        <w:rPr>
          <w:sz w:val="24"/>
          <w:szCs w:val="24"/>
        </w:rPr>
        <w:t xml:space="preserve">de la VA par établissement </w:t>
      </w:r>
      <w:r w:rsidR="003A3D94" w:rsidRPr="00741216">
        <w:rPr>
          <w:sz w:val="24"/>
          <w:szCs w:val="24"/>
        </w:rPr>
        <w:t>permettra d’établir une cartographie</w:t>
      </w:r>
      <w:r w:rsidR="00C5493A" w:rsidRPr="00741216">
        <w:rPr>
          <w:sz w:val="24"/>
          <w:szCs w:val="24"/>
        </w:rPr>
        <w:t xml:space="preserve"> globale</w:t>
      </w:r>
      <w:r w:rsidR="003A3D94" w:rsidRPr="00741216">
        <w:rPr>
          <w:sz w:val="24"/>
          <w:szCs w:val="24"/>
        </w:rPr>
        <w:t xml:space="preserve"> des pratiques.</w:t>
      </w:r>
    </w:p>
    <w:p w:rsidR="003A3D94" w:rsidRPr="00741216" w:rsidRDefault="003A3D94" w:rsidP="00E046BE">
      <w:pPr>
        <w:jc w:val="both"/>
        <w:rPr>
          <w:sz w:val="24"/>
          <w:szCs w:val="24"/>
        </w:rPr>
      </w:pPr>
      <w:r w:rsidRPr="00741216">
        <w:rPr>
          <w:sz w:val="24"/>
          <w:szCs w:val="24"/>
        </w:rPr>
        <w:t>Dans un second temps, l’atelier pourrait  permettre une analyse des freins au développement de la VA et des leviers qui permettraient à l’</w:t>
      </w:r>
      <w:r w:rsidR="00C5493A" w:rsidRPr="00741216">
        <w:rPr>
          <w:sz w:val="24"/>
          <w:szCs w:val="24"/>
        </w:rPr>
        <w:t>U c</w:t>
      </w:r>
      <w:r w:rsidRPr="00741216">
        <w:rPr>
          <w:sz w:val="24"/>
          <w:szCs w:val="24"/>
        </w:rPr>
        <w:t>ible de faire de la validation d’acquis un enjeu de la formation professionnelle. Il s’agit </w:t>
      </w:r>
      <w:r w:rsidR="00C5493A" w:rsidRPr="00741216">
        <w:rPr>
          <w:sz w:val="24"/>
          <w:szCs w:val="24"/>
        </w:rPr>
        <w:t xml:space="preserve">de </w:t>
      </w:r>
      <w:r w:rsidRPr="00741216">
        <w:rPr>
          <w:sz w:val="24"/>
          <w:szCs w:val="24"/>
        </w:rPr>
        <w:t xml:space="preserve">: </w:t>
      </w:r>
    </w:p>
    <w:p w:rsidR="003A3D94" w:rsidRPr="00741216" w:rsidRDefault="00C5493A" w:rsidP="003A3D94">
      <w:pPr>
        <w:pStyle w:val="Paragraphedeliste"/>
        <w:numPr>
          <w:ilvl w:val="0"/>
          <w:numId w:val="12"/>
        </w:numPr>
        <w:jc w:val="both"/>
        <w:rPr>
          <w:rFonts w:eastAsiaTheme="majorEastAsia" w:cstheme="majorBidi"/>
          <w:bCs/>
          <w:color w:val="000000" w:themeColor="text1"/>
          <w:sz w:val="24"/>
          <w:szCs w:val="24"/>
        </w:rPr>
      </w:pPr>
      <w:r w:rsidRPr="00741216">
        <w:rPr>
          <w:rFonts w:eastAsiaTheme="majorEastAsia" w:cstheme="majorBidi"/>
          <w:bCs/>
          <w:color w:val="000000" w:themeColor="text1"/>
          <w:sz w:val="24"/>
          <w:szCs w:val="24"/>
        </w:rPr>
        <w:t>l</w:t>
      </w:r>
      <w:r w:rsidR="003A3D94" w:rsidRPr="00741216">
        <w:rPr>
          <w:rFonts w:eastAsiaTheme="majorEastAsia" w:cstheme="majorBidi"/>
          <w:bCs/>
          <w:color w:val="000000" w:themeColor="text1"/>
          <w:sz w:val="24"/>
          <w:szCs w:val="24"/>
        </w:rPr>
        <w:t xml:space="preserve">ister les </w:t>
      </w:r>
      <w:r w:rsidR="001C36B4">
        <w:rPr>
          <w:rFonts w:eastAsiaTheme="majorEastAsia" w:cstheme="majorBidi"/>
          <w:bCs/>
          <w:color w:val="000000" w:themeColor="text1"/>
          <w:sz w:val="24"/>
          <w:szCs w:val="24"/>
        </w:rPr>
        <w:t>enjeux à venir pour permettre le</w:t>
      </w:r>
      <w:r w:rsidR="003A3D94" w:rsidRPr="00741216">
        <w:rPr>
          <w:rFonts w:eastAsiaTheme="majorEastAsia" w:cstheme="majorBidi"/>
          <w:bCs/>
          <w:color w:val="000000" w:themeColor="text1"/>
          <w:sz w:val="24"/>
          <w:szCs w:val="24"/>
        </w:rPr>
        <w:t xml:space="preserve"> développement</w:t>
      </w:r>
      <w:r w:rsidR="00990F06" w:rsidRPr="00741216">
        <w:rPr>
          <w:rFonts w:eastAsiaTheme="majorEastAsia" w:cstheme="majorBidi"/>
          <w:bCs/>
          <w:color w:val="000000" w:themeColor="text1"/>
          <w:sz w:val="24"/>
          <w:szCs w:val="24"/>
        </w:rPr>
        <w:t xml:space="preserve"> de la VA</w:t>
      </w:r>
      <w:r w:rsidR="007F34FC" w:rsidRPr="00741216">
        <w:rPr>
          <w:rFonts w:eastAsiaTheme="majorEastAsia" w:cstheme="majorBidi"/>
          <w:bCs/>
          <w:color w:val="000000" w:themeColor="text1"/>
          <w:sz w:val="24"/>
          <w:szCs w:val="24"/>
        </w:rPr>
        <w:t xml:space="preserve"> et identifier les moyens </w:t>
      </w:r>
      <w:r w:rsidR="001C36B4">
        <w:rPr>
          <w:rFonts w:eastAsiaTheme="majorEastAsia" w:cstheme="majorBidi"/>
          <w:bCs/>
          <w:color w:val="000000" w:themeColor="text1"/>
          <w:sz w:val="24"/>
          <w:szCs w:val="24"/>
        </w:rPr>
        <w:t>de contourner les freins</w:t>
      </w:r>
      <w:r w:rsidR="007F34FC" w:rsidRPr="00741216">
        <w:rPr>
          <w:rFonts w:eastAsiaTheme="majorEastAsia" w:cstheme="majorBidi"/>
          <w:bCs/>
          <w:color w:val="000000" w:themeColor="text1"/>
          <w:sz w:val="24"/>
          <w:szCs w:val="24"/>
        </w:rPr>
        <w:t xml:space="preserve"> :</w:t>
      </w:r>
    </w:p>
    <w:p w:rsidR="00C5493A" w:rsidRPr="00741216" w:rsidRDefault="00C5493A" w:rsidP="00C5493A">
      <w:pPr>
        <w:pStyle w:val="Paragraphedeliste"/>
        <w:numPr>
          <w:ilvl w:val="1"/>
          <w:numId w:val="12"/>
        </w:numPr>
        <w:jc w:val="both"/>
        <w:rPr>
          <w:rFonts w:eastAsiaTheme="majorEastAsia" w:cstheme="majorBidi"/>
          <w:bCs/>
          <w:color w:val="000000" w:themeColor="text1"/>
          <w:sz w:val="24"/>
          <w:szCs w:val="24"/>
        </w:rPr>
      </w:pPr>
      <w:r w:rsidRPr="00E046BE">
        <w:rPr>
          <w:rFonts w:eastAsiaTheme="majorEastAsia" w:cstheme="majorBidi"/>
          <w:bCs/>
          <w:color w:val="000000" w:themeColor="text1"/>
          <w:sz w:val="24"/>
          <w:szCs w:val="24"/>
        </w:rPr>
        <w:t>sensibilisation des équipes pédagogiques à la VAE : reconnaitre l'expérience</w:t>
      </w:r>
    </w:p>
    <w:p w:rsidR="00C5493A" w:rsidRPr="00741216" w:rsidRDefault="00C5493A" w:rsidP="00C5493A">
      <w:pPr>
        <w:pStyle w:val="Paragraphedeliste"/>
        <w:numPr>
          <w:ilvl w:val="1"/>
          <w:numId w:val="12"/>
        </w:numPr>
        <w:jc w:val="both"/>
        <w:rPr>
          <w:rFonts w:eastAsiaTheme="majorEastAsia" w:cstheme="majorBidi"/>
          <w:bCs/>
          <w:color w:val="000000" w:themeColor="text1"/>
          <w:sz w:val="24"/>
          <w:szCs w:val="24"/>
        </w:rPr>
      </w:pPr>
      <w:r w:rsidRPr="00E046BE">
        <w:rPr>
          <w:rFonts w:eastAsia="Times New Roman" w:cs="Arial"/>
          <w:color w:val="000000"/>
          <w:sz w:val="24"/>
          <w:szCs w:val="24"/>
          <w:lang w:eastAsia="fr-FR"/>
        </w:rPr>
        <w:t>articulation du double accompagnement méthodologique et pédagogique</w:t>
      </w:r>
    </w:p>
    <w:p w:rsidR="00C5493A" w:rsidRPr="00741216" w:rsidRDefault="00C5493A" w:rsidP="00C5493A">
      <w:pPr>
        <w:pStyle w:val="Paragraphedeliste"/>
        <w:numPr>
          <w:ilvl w:val="1"/>
          <w:numId w:val="12"/>
        </w:numPr>
        <w:spacing w:after="0" w:line="240" w:lineRule="auto"/>
        <w:jc w:val="both"/>
        <w:rPr>
          <w:rFonts w:eastAsia="Times New Roman" w:cs="Arial"/>
          <w:color w:val="000000"/>
          <w:sz w:val="24"/>
          <w:szCs w:val="24"/>
          <w:lang w:eastAsia="fr-FR"/>
        </w:rPr>
      </w:pPr>
      <w:r w:rsidRPr="00741216">
        <w:rPr>
          <w:rFonts w:eastAsia="Times New Roman" w:cs="Arial"/>
          <w:color w:val="000000"/>
          <w:sz w:val="24"/>
          <w:szCs w:val="24"/>
          <w:lang w:eastAsia="fr-FR"/>
        </w:rPr>
        <w:t xml:space="preserve">en se basant sur leur expérience professionnelle, comment accompagner les candidats vers une analyse réflexive de leur pratique et faire en sorte que le travail rendu (rapport VAE) soit aussi un travail académique </w:t>
      </w:r>
    </w:p>
    <w:p w:rsidR="00C5493A" w:rsidRDefault="00C5493A" w:rsidP="00C5493A">
      <w:pPr>
        <w:pStyle w:val="Paragraphedeliste"/>
        <w:numPr>
          <w:ilvl w:val="1"/>
          <w:numId w:val="12"/>
        </w:numPr>
        <w:jc w:val="both"/>
        <w:rPr>
          <w:rFonts w:eastAsiaTheme="majorEastAsia" w:cstheme="majorBidi"/>
          <w:bCs/>
          <w:color w:val="000000" w:themeColor="text1"/>
          <w:sz w:val="24"/>
          <w:szCs w:val="24"/>
        </w:rPr>
      </w:pPr>
      <w:r w:rsidRPr="00741216">
        <w:rPr>
          <w:rFonts w:eastAsiaTheme="majorEastAsia" w:cstheme="majorBidi"/>
          <w:bCs/>
          <w:color w:val="000000" w:themeColor="text1"/>
          <w:sz w:val="24"/>
          <w:szCs w:val="24"/>
        </w:rPr>
        <w:t>faire prendre conscience que la VAE partielle n’est pas échec, ni pour le candidat ni pour l’accompagnateur. Avec l’abaissement du niveau d’expérience de 3 à 1 an, la VAE rentre dans une démarche FTLV avec une logique de validation par brique de compétences pour constituer un diplôme au bout de X années. C’est également un des moyens de développement de la formation continue (hybride VAE/FC)</w:t>
      </w:r>
    </w:p>
    <w:p w:rsidR="001C36B4" w:rsidRPr="00741216" w:rsidRDefault="001C36B4" w:rsidP="00C5493A">
      <w:pPr>
        <w:pStyle w:val="Paragraphedeliste"/>
        <w:numPr>
          <w:ilvl w:val="1"/>
          <w:numId w:val="12"/>
        </w:numPr>
        <w:jc w:val="both"/>
        <w:rPr>
          <w:rFonts w:eastAsiaTheme="majorEastAsia" w:cstheme="majorBidi"/>
          <w:bCs/>
          <w:color w:val="000000" w:themeColor="text1"/>
          <w:sz w:val="24"/>
          <w:szCs w:val="24"/>
        </w:rPr>
      </w:pPr>
      <w:r>
        <w:rPr>
          <w:rFonts w:eastAsiaTheme="majorEastAsia" w:cstheme="majorBidi"/>
          <w:bCs/>
          <w:color w:val="000000" w:themeColor="text1"/>
          <w:sz w:val="24"/>
          <w:szCs w:val="24"/>
        </w:rPr>
        <w:t>prendre en compte les contraintes réglementaires</w:t>
      </w:r>
      <w:r w:rsidR="0008779F">
        <w:rPr>
          <w:rFonts w:eastAsiaTheme="majorEastAsia" w:cstheme="majorBidi"/>
          <w:bCs/>
          <w:color w:val="000000" w:themeColor="text1"/>
          <w:sz w:val="24"/>
          <w:szCs w:val="24"/>
        </w:rPr>
        <w:t xml:space="preserve"> (FC/VAE)</w:t>
      </w:r>
      <w:r>
        <w:rPr>
          <w:rFonts w:eastAsiaTheme="majorEastAsia" w:cstheme="majorBidi"/>
          <w:bCs/>
          <w:color w:val="000000" w:themeColor="text1"/>
          <w:sz w:val="24"/>
          <w:szCs w:val="24"/>
        </w:rPr>
        <w:t xml:space="preserve">, de plus en plus complexes et difficiles à mettre en œuvre </w:t>
      </w:r>
      <w:r w:rsidR="0008779F">
        <w:rPr>
          <w:rFonts w:eastAsiaTheme="majorEastAsia" w:cstheme="majorBidi"/>
          <w:bCs/>
          <w:color w:val="000000" w:themeColor="text1"/>
          <w:sz w:val="24"/>
          <w:szCs w:val="24"/>
        </w:rPr>
        <w:t xml:space="preserve"> (Ex VAE : </w:t>
      </w:r>
      <w:r>
        <w:rPr>
          <w:rFonts w:eastAsiaTheme="majorEastAsia" w:cstheme="majorBidi"/>
          <w:bCs/>
          <w:color w:val="000000" w:themeColor="text1"/>
          <w:sz w:val="24"/>
          <w:szCs w:val="24"/>
        </w:rPr>
        <w:t>composition des jurys, mise en situation des candidats etc.)</w:t>
      </w:r>
    </w:p>
    <w:p w:rsidR="00C5493A" w:rsidRPr="00741216" w:rsidRDefault="00C5493A" w:rsidP="007F34FC">
      <w:pPr>
        <w:pStyle w:val="Paragraphedeliste"/>
        <w:jc w:val="both"/>
        <w:rPr>
          <w:rFonts w:eastAsiaTheme="majorEastAsia" w:cstheme="majorBidi"/>
          <w:bCs/>
          <w:color w:val="000000" w:themeColor="text1"/>
          <w:sz w:val="24"/>
          <w:szCs w:val="24"/>
        </w:rPr>
      </w:pPr>
    </w:p>
    <w:p w:rsidR="00C5493A" w:rsidRPr="00741216" w:rsidRDefault="00C5493A" w:rsidP="00C5493A">
      <w:pPr>
        <w:pStyle w:val="Paragraphedeliste"/>
        <w:numPr>
          <w:ilvl w:val="0"/>
          <w:numId w:val="12"/>
        </w:numPr>
        <w:jc w:val="both"/>
        <w:rPr>
          <w:rFonts w:eastAsiaTheme="majorEastAsia" w:cstheme="majorBidi"/>
          <w:bCs/>
          <w:color w:val="000000" w:themeColor="text1"/>
          <w:sz w:val="24"/>
          <w:szCs w:val="24"/>
        </w:rPr>
      </w:pPr>
      <w:r w:rsidRPr="00741216">
        <w:rPr>
          <w:rFonts w:eastAsiaTheme="majorEastAsia" w:cstheme="majorBidi"/>
          <w:bCs/>
          <w:color w:val="000000" w:themeColor="text1"/>
          <w:sz w:val="24"/>
          <w:szCs w:val="24"/>
        </w:rPr>
        <w:t>encourager la VAE collective</w:t>
      </w:r>
      <w:r w:rsidR="00926393">
        <w:rPr>
          <w:rFonts w:eastAsiaTheme="majorEastAsia" w:cstheme="majorBidi"/>
          <w:bCs/>
          <w:color w:val="000000" w:themeColor="text1"/>
          <w:sz w:val="24"/>
          <w:szCs w:val="24"/>
        </w:rPr>
        <w:t xml:space="preserve"> et les réponses mixtes aux entreprises (VAE+FC)</w:t>
      </w:r>
    </w:p>
    <w:p w:rsidR="003A3D94" w:rsidRPr="00741216" w:rsidRDefault="00990F06" w:rsidP="00C5493A">
      <w:pPr>
        <w:pStyle w:val="Paragraphedeliste"/>
        <w:numPr>
          <w:ilvl w:val="0"/>
          <w:numId w:val="12"/>
        </w:numPr>
        <w:jc w:val="both"/>
        <w:rPr>
          <w:rFonts w:eastAsiaTheme="majorEastAsia" w:cstheme="majorBidi"/>
          <w:bCs/>
          <w:color w:val="000000" w:themeColor="text1"/>
          <w:sz w:val="24"/>
          <w:szCs w:val="24"/>
        </w:rPr>
      </w:pPr>
      <w:r w:rsidRPr="00741216">
        <w:rPr>
          <w:rFonts w:eastAsiaTheme="majorEastAsia" w:cstheme="majorBidi"/>
          <w:bCs/>
          <w:color w:val="000000" w:themeColor="text1"/>
          <w:sz w:val="24"/>
          <w:szCs w:val="24"/>
        </w:rPr>
        <w:t>faire en sorte que l’investissement en VA soit profitable à la formation initiale</w:t>
      </w:r>
      <w:r w:rsidR="00E26F7F" w:rsidRPr="00741216">
        <w:rPr>
          <w:rFonts w:eastAsiaTheme="majorEastAsia" w:cstheme="majorBidi"/>
          <w:bCs/>
          <w:color w:val="000000" w:themeColor="text1"/>
          <w:sz w:val="24"/>
          <w:szCs w:val="24"/>
        </w:rPr>
        <w:t> ;</w:t>
      </w:r>
      <w:r w:rsidR="007F34FC" w:rsidRPr="00741216">
        <w:rPr>
          <w:rFonts w:eastAsiaTheme="majorEastAsia" w:cstheme="majorBidi"/>
          <w:bCs/>
          <w:color w:val="000000" w:themeColor="text1"/>
          <w:sz w:val="24"/>
          <w:szCs w:val="24"/>
        </w:rPr>
        <w:t xml:space="preserve"> la VAE comme moteur pour la démarche compétences (cercle vertueux)</w:t>
      </w:r>
    </w:p>
    <w:p w:rsidR="007F34FC" w:rsidRPr="00741216" w:rsidRDefault="007F34FC" w:rsidP="00C5493A">
      <w:pPr>
        <w:pStyle w:val="Paragraphedeliste"/>
        <w:numPr>
          <w:ilvl w:val="0"/>
          <w:numId w:val="12"/>
        </w:numPr>
        <w:jc w:val="both"/>
        <w:rPr>
          <w:rFonts w:eastAsiaTheme="majorEastAsia" w:cstheme="majorBidi"/>
          <w:bCs/>
          <w:color w:val="000000" w:themeColor="text1"/>
          <w:sz w:val="24"/>
          <w:szCs w:val="24"/>
        </w:rPr>
      </w:pPr>
      <w:r w:rsidRPr="00741216">
        <w:rPr>
          <w:rFonts w:eastAsiaTheme="majorEastAsia" w:cstheme="majorBidi"/>
          <w:bCs/>
          <w:color w:val="000000" w:themeColor="text1"/>
          <w:sz w:val="24"/>
          <w:szCs w:val="24"/>
        </w:rPr>
        <w:t xml:space="preserve">associer au développement FC/VAE un système d’information efficient : les outils sont indispensables au </w:t>
      </w:r>
      <w:r w:rsidR="00741216">
        <w:rPr>
          <w:rFonts w:eastAsiaTheme="majorEastAsia" w:cstheme="majorBidi"/>
          <w:bCs/>
          <w:color w:val="000000" w:themeColor="text1"/>
          <w:sz w:val="24"/>
          <w:szCs w:val="24"/>
        </w:rPr>
        <w:t>développement de l’activité FC et VAE et à l’accompagnement des candidats</w:t>
      </w:r>
      <w:r w:rsidR="001C36B4">
        <w:rPr>
          <w:rFonts w:eastAsiaTheme="majorEastAsia" w:cstheme="majorBidi"/>
          <w:bCs/>
          <w:color w:val="000000" w:themeColor="text1"/>
          <w:sz w:val="24"/>
          <w:szCs w:val="24"/>
        </w:rPr>
        <w:t>.</w:t>
      </w:r>
    </w:p>
    <w:p w:rsidR="00E046BE" w:rsidRPr="00741216" w:rsidRDefault="00E046BE" w:rsidP="0013462B">
      <w:pPr>
        <w:tabs>
          <w:tab w:val="left" w:pos="5409"/>
        </w:tabs>
        <w:jc w:val="both"/>
        <w:rPr>
          <w:sz w:val="24"/>
          <w:szCs w:val="24"/>
        </w:rPr>
      </w:pPr>
    </w:p>
    <w:p w:rsidR="00E046BE" w:rsidRPr="00E046BE" w:rsidRDefault="00E046BE" w:rsidP="00E046BE">
      <w:pPr>
        <w:spacing w:after="0" w:line="240" w:lineRule="auto"/>
        <w:rPr>
          <w:rFonts w:eastAsia="Times New Roman" w:cs="Times New Roman"/>
          <w:color w:val="auto"/>
          <w:sz w:val="24"/>
          <w:szCs w:val="24"/>
          <w:lang w:eastAsia="fr-FR"/>
        </w:rPr>
      </w:pPr>
    </w:p>
    <w:p w:rsidR="00BB671F" w:rsidRPr="00741216" w:rsidRDefault="00BB671F" w:rsidP="00BB671F">
      <w:pPr>
        <w:jc w:val="both"/>
        <w:rPr>
          <w:sz w:val="24"/>
          <w:szCs w:val="24"/>
        </w:rPr>
      </w:pPr>
    </w:p>
    <w:sectPr w:rsidR="00BB671F" w:rsidRPr="00741216" w:rsidSect="00D16DA9">
      <w:headerReference w:type="first" r:id="rId8"/>
      <w:pgSz w:w="11906" w:h="16838"/>
      <w:pgMar w:top="1417" w:right="1417" w:bottom="1417" w:left="1417" w:header="0"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2A8" w:rsidRDefault="00BF72A8" w:rsidP="00D16DA9">
      <w:pPr>
        <w:spacing w:after="0" w:line="240" w:lineRule="auto"/>
      </w:pPr>
      <w:r>
        <w:separator/>
      </w:r>
    </w:p>
  </w:endnote>
  <w:endnote w:type="continuationSeparator" w:id="0">
    <w:p w:rsidR="00BF72A8" w:rsidRDefault="00BF72A8" w:rsidP="00D1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sig w:usb0="00000000" w:usb1="500078FF" w:usb2="00000021" w:usb3="00000000" w:csb0="000001BF" w:csb1="00000000"/>
  </w:font>
  <w:font w:name="AR PL UMing C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Wingdings 3">
    <w:altName w:val="Wingdings"/>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2A8" w:rsidRDefault="00BF72A8" w:rsidP="00D16DA9">
      <w:pPr>
        <w:spacing w:after="0" w:line="240" w:lineRule="auto"/>
      </w:pPr>
      <w:r>
        <w:separator/>
      </w:r>
    </w:p>
  </w:footnote>
  <w:footnote w:type="continuationSeparator" w:id="0">
    <w:p w:rsidR="00BF72A8" w:rsidRDefault="00BF72A8" w:rsidP="00D16D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DA9" w:rsidRDefault="00D16DA9" w:rsidP="00D16DA9">
    <w:pPr>
      <w:pStyle w:val="Titre1"/>
      <w:spacing w:before="360" w:after="120"/>
      <w:ind w:left="1843" w:right="-709"/>
      <w:jc w:val="both"/>
      <w:rPr>
        <w:sz w:val="22"/>
        <w:szCs w:val="22"/>
      </w:rPr>
    </w:pPr>
  </w:p>
  <w:p w:rsidR="00D16DA9" w:rsidRPr="00D16DA9" w:rsidRDefault="00D16DA9" w:rsidP="00D16DA9">
    <w:pPr>
      <w:pStyle w:val="Titre1"/>
      <w:spacing w:before="360" w:after="120"/>
      <w:ind w:left="1843"/>
      <w:jc w:val="both"/>
      <w:rPr>
        <w:sz w:val="22"/>
        <w:szCs w:val="22"/>
      </w:rPr>
    </w:pPr>
    <w:r w:rsidRPr="00D16DA9">
      <w:rPr>
        <w:noProof/>
        <w:sz w:val="22"/>
        <w:szCs w:val="22"/>
        <w:lang w:eastAsia="fr-FR"/>
      </w:rPr>
      <w:drawing>
        <wp:anchor distT="0" distB="0" distL="114300" distR="114300" simplePos="0" relativeHeight="251661312" behindDoc="0" locked="0" layoutInCell="1" allowOverlap="1" wp14:anchorId="5FBC3F2F" wp14:editId="53D0C6A3">
          <wp:simplePos x="0" y="0"/>
          <wp:positionH relativeFrom="column">
            <wp:posOffset>-709295</wp:posOffset>
          </wp:positionH>
          <wp:positionV relativeFrom="paragraph">
            <wp:posOffset>191135</wp:posOffset>
          </wp:positionV>
          <wp:extent cx="1760220" cy="1111885"/>
          <wp:effectExtent l="0" t="0" r="0" b="0"/>
          <wp:wrapSquare wrapText="bothSides"/>
          <wp:docPr id="4" name="Image 4"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0220" cy="1111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6DA9">
      <w:rPr>
        <w:sz w:val="22"/>
        <w:szCs w:val="22"/>
      </w:rPr>
      <w:t>Les séminaires de connaissance réciproque : et si nous faisions connaissance ?</w:t>
    </w:r>
  </w:p>
  <w:p w:rsidR="00D16DA9" w:rsidRDefault="00D16DA9" w:rsidP="00D16DA9">
    <w:pPr>
      <w:pStyle w:val="NormalWeb"/>
      <w:spacing w:before="0" w:beforeAutospacing="0"/>
      <w:ind w:left="1843"/>
      <w:jc w:val="both"/>
      <w:rPr>
        <w:rFonts w:asciiTheme="minorHAnsi" w:eastAsiaTheme="minorHAnsi" w:hAnsiTheme="minorHAnsi" w:cstheme="minorBidi"/>
        <w:color w:val="00000A"/>
        <w:sz w:val="22"/>
        <w:szCs w:val="22"/>
        <w:lang w:eastAsia="en-US"/>
      </w:rPr>
    </w:pPr>
    <w:r w:rsidRPr="00D16DA9">
      <w:rPr>
        <w:rFonts w:asciiTheme="minorHAnsi" w:eastAsiaTheme="minorHAnsi" w:hAnsiTheme="minorHAnsi" w:cstheme="minorBidi"/>
        <w:color w:val="00000A"/>
        <w:sz w:val="22"/>
        <w:szCs w:val="22"/>
        <w:lang w:eastAsia="en-US"/>
      </w:rPr>
      <w:t>Les séminaires de connaissance réciproque sont l'occasion de rencontrer nos futurs collègues pour échanger sur différents sujets concernant notre nouvelle université, que ce soit sur des sujets scientifiques, de formation, de support et de soutien.</w:t>
    </w:r>
  </w:p>
  <w:p w:rsidR="00D16DA9" w:rsidRDefault="00D16DA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552E"/>
    <w:multiLevelType w:val="multilevel"/>
    <w:tmpl w:val="0F8E37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96C13A2"/>
    <w:multiLevelType w:val="hybridMultilevel"/>
    <w:tmpl w:val="AAFAE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1C01D9"/>
    <w:multiLevelType w:val="multilevel"/>
    <w:tmpl w:val="2C68F2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B0E1BA8"/>
    <w:multiLevelType w:val="hybridMultilevel"/>
    <w:tmpl w:val="7EE0C50E"/>
    <w:lvl w:ilvl="0" w:tplc="D29684E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1141082"/>
    <w:multiLevelType w:val="hybridMultilevel"/>
    <w:tmpl w:val="DD5228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BBC4DE7"/>
    <w:multiLevelType w:val="hybridMultilevel"/>
    <w:tmpl w:val="B1F48EF2"/>
    <w:lvl w:ilvl="0" w:tplc="D29684E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F1E4B8F"/>
    <w:multiLevelType w:val="hybridMultilevel"/>
    <w:tmpl w:val="3864C0A2"/>
    <w:lvl w:ilvl="0" w:tplc="D29684E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A145639"/>
    <w:multiLevelType w:val="hybridMultilevel"/>
    <w:tmpl w:val="3E50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4D4928"/>
    <w:multiLevelType w:val="hybridMultilevel"/>
    <w:tmpl w:val="CF5CB238"/>
    <w:lvl w:ilvl="0" w:tplc="D29684E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EAF749D"/>
    <w:multiLevelType w:val="hybridMultilevel"/>
    <w:tmpl w:val="0D88711C"/>
    <w:lvl w:ilvl="0" w:tplc="C99A931E">
      <w:start w:val="1"/>
      <w:numFmt w:val="bullet"/>
      <w:lvlText w:val="•"/>
      <w:lvlJc w:val="left"/>
      <w:pPr>
        <w:tabs>
          <w:tab w:val="num" w:pos="720"/>
        </w:tabs>
        <w:ind w:left="720" w:hanging="360"/>
      </w:pPr>
      <w:rPr>
        <w:rFonts w:ascii="Times New Roman" w:hAnsi="Times New Roman" w:cs="Times New Roman" w:hint="default"/>
      </w:rPr>
    </w:lvl>
    <w:lvl w:ilvl="1" w:tplc="6D8E4AEE">
      <w:start w:val="1"/>
      <w:numFmt w:val="bullet"/>
      <w:lvlText w:val="•"/>
      <w:lvlJc w:val="left"/>
      <w:pPr>
        <w:tabs>
          <w:tab w:val="num" w:pos="1440"/>
        </w:tabs>
        <w:ind w:left="1440" w:hanging="360"/>
      </w:pPr>
      <w:rPr>
        <w:rFonts w:ascii="Times New Roman" w:hAnsi="Times New Roman" w:cs="Times New Roman" w:hint="default"/>
      </w:rPr>
    </w:lvl>
    <w:lvl w:ilvl="2" w:tplc="076AD05A">
      <w:start w:val="1"/>
      <w:numFmt w:val="bullet"/>
      <w:lvlText w:val="•"/>
      <w:lvlJc w:val="left"/>
      <w:pPr>
        <w:tabs>
          <w:tab w:val="num" w:pos="2160"/>
        </w:tabs>
        <w:ind w:left="2160" w:hanging="360"/>
      </w:pPr>
      <w:rPr>
        <w:rFonts w:ascii="Times New Roman" w:hAnsi="Times New Roman" w:cs="Times New Roman" w:hint="default"/>
      </w:rPr>
    </w:lvl>
    <w:lvl w:ilvl="3" w:tplc="A55686B0">
      <w:start w:val="1"/>
      <w:numFmt w:val="bullet"/>
      <w:lvlText w:val="•"/>
      <w:lvlJc w:val="left"/>
      <w:pPr>
        <w:tabs>
          <w:tab w:val="num" w:pos="2880"/>
        </w:tabs>
        <w:ind w:left="2880" w:hanging="360"/>
      </w:pPr>
      <w:rPr>
        <w:rFonts w:ascii="Times New Roman" w:hAnsi="Times New Roman" w:cs="Times New Roman" w:hint="default"/>
      </w:rPr>
    </w:lvl>
    <w:lvl w:ilvl="4" w:tplc="B42C770A">
      <w:start w:val="1"/>
      <w:numFmt w:val="bullet"/>
      <w:lvlText w:val="•"/>
      <w:lvlJc w:val="left"/>
      <w:pPr>
        <w:tabs>
          <w:tab w:val="num" w:pos="3600"/>
        </w:tabs>
        <w:ind w:left="3600" w:hanging="360"/>
      </w:pPr>
      <w:rPr>
        <w:rFonts w:ascii="Times New Roman" w:hAnsi="Times New Roman" w:cs="Times New Roman" w:hint="default"/>
      </w:rPr>
    </w:lvl>
    <w:lvl w:ilvl="5" w:tplc="4EC8A090">
      <w:start w:val="1"/>
      <w:numFmt w:val="bullet"/>
      <w:lvlText w:val="•"/>
      <w:lvlJc w:val="left"/>
      <w:pPr>
        <w:tabs>
          <w:tab w:val="num" w:pos="4320"/>
        </w:tabs>
        <w:ind w:left="4320" w:hanging="360"/>
      </w:pPr>
      <w:rPr>
        <w:rFonts w:ascii="Times New Roman" w:hAnsi="Times New Roman" w:cs="Times New Roman" w:hint="default"/>
      </w:rPr>
    </w:lvl>
    <w:lvl w:ilvl="6" w:tplc="63AC58AC">
      <w:start w:val="1"/>
      <w:numFmt w:val="bullet"/>
      <w:lvlText w:val="•"/>
      <w:lvlJc w:val="left"/>
      <w:pPr>
        <w:tabs>
          <w:tab w:val="num" w:pos="5040"/>
        </w:tabs>
        <w:ind w:left="5040" w:hanging="360"/>
      </w:pPr>
      <w:rPr>
        <w:rFonts w:ascii="Times New Roman" w:hAnsi="Times New Roman" w:cs="Times New Roman" w:hint="default"/>
      </w:rPr>
    </w:lvl>
    <w:lvl w:ilvl="7" w:tplc="4468D928">
      <w:start w:val="1"/>
      <w:numFmt w:val="bullet"/>
      <w:lvlText w:val="•"/>
      <w:lvlJc w:val="left"/>
      <w:pPr>
        <w:tabs>
          <w:tab w:val="num" w:pos="5760"/>
        </w:tabs>
        <w:ind w:left="5760" w:hanging="360"/>
      </w:pPr>
      <w:rPr>
        <w:rFonts w:ascii="Times New Roman" w:hAnsi="Times New Roman" w:cs="Times New Roman" w:hint="default"/>
      </w:rPr>
    </w:lvl>
    <w:lvl w:ilvl="8" w:tplc="8EC24B7C">
      <w:start w:val="1"/>
      <w:numFmt w:val="bullet"/>
      <w:lvlText w:val="•"/>
      <w:lvlJc w:val="left"/>
      <w:pPr>
        <w:tabs>
          <w:tab w:val="num" w:pos="6480"/>
        </w:tabs>
        <w:ind w:left="6480" w:hanging="360"/>
      </w:pPr>
      <w:rPr>
        <w:rFonts w:ascii="Times New Roman" w:hAnsi="Times New Roman" w:cs="Times New Roman" w:hint="default"/>
      </w:rPr>
    </w:lvl>
  </w:abstractNum>
  <w:abstractNum w:abstractNumId="10">
    <w:nsid w:val="7BA945A9"/>
    <w:multiLevelType w:val="multilevel"/>
    <w:tmpl w:val="30CA07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7DF15EB9"/>
    <w:multiLevelType w:val="hybridMultilevel"/>
    <w:tmpl w:val="6498867E"/>
    <w:lvl w:ilvl="0" w:tplc="D29684E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0"/>
  </w:num>
  <w:num w:numId="4">
    <w:abstractNumId w:val="9"/>
  </w:num>
  <w:num w:numId="5">
    <w:abstractNumId w:val="1"/>
  </w:num>
  <w:num w:numId="6">
    <w:abstractNumId w:val="7"/>
  </w:num>
  <w:num w:numId="7">
    <w:abstractNumId w:val="8"/>
  </w:num>
  <w:num w:numId="8">
    <w:abstractNumId w:val="3"/>
  </w:num>
  <w:num w:numId="9">
    <w:abstractNumId w:val="5"/>
  </w:num>
  <w:num w:numId="10">
    <w:abstractNumId w:val="1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82"/>
    <w:rsid w:val="000007CA"/>
    <w:rsid w:val="000356C7"/>
    <w:rsid w:val="00054EE0"/>
    <w:rsid w:val="0005536D"/>
    <w:rsid w:val="00055C21"/>
    <w:rsid w:val="00063ABB"/>
    <w:rsid w:val="00072FDA"/>
    <w:rsid w:val="0008779F"/>
    <w:rsid w:val="0013462B"/>
    <w:rsid w:val="001A4032"/>
    <w:rsid w:val="001C36B4"/>
    <w:rsid w:val="001D70FD"/>
    <w:rsid w:val="001E0662"/>
    <w:rsid w:val="001F3EDE"/>
    <w:rsid w:val="001F5BF9"/>
    <w:rsid w:val="00230DF1"/>
    <w:rsid w:val="00245CCA"/>
    <w:rsid w:val="002C2F93"/>
    <w:rsid w:val="002F66FD"/>
    <w:rsid w:val="003144AF"/>
    <w:rsid w:val="003A3D94"/>
    <w:rsid w:val="0046037A"/>
    <w:rsid w:val="004A5A4E"/>
    <w:rsid w:val="0057351C"/>
    <w:rsid w:val="005C2610"/>
    <w:rsid w:val="0068212E"/>
    <w:rsid w:val="006C72A9"/>
    <w:rsid w:val="006D37BE"/>
    <w:rsid w:val="006F5731"/>
    <w:rsid w:val="00713FAE"/>
    <w:rsid w:val="00741216"/>
    <w:rsid w:val="0075667C"/>
    <w:rsid w:val="007B3B95"/>
    <w:rsid w:val="007D6367"/>
    <w:rsid w:val="007F34FC"/>
    <w:rsid w:val="008754EF"/>
    <w:rsid w:val="00891721"/>
    <w:rsid w:val="008B7814"/>
    <w:rsid w:val="008D48A6"/>
    <w:rsid w:val="008E0A85"/>
    <w:rsid w:val="00926393"/>
    <w:rsid w:val="00951CE7"/>
    <w:rsid w:val="00983657"/>
    <w:rsid w:val="00990F06"/>
    <w:rsid w:val="00A61C39"/>
    <w:rsid w:val="00AF0C24"/>
    <w:rsid w:val="00B23779"/>
    <w:rsid w:val="00B278EA"/>
    <w:rsid w:val="00B3504B"/>
    <w:rsid w:val="00B35692"/>
    <w:rsid w:val="00B95E9F"/>
    <w:rsid w:val="00BB671F"/>
    <w:rsid w:val="00BF72A8"/>
    <w:rsid w:val="00C01D82"/>
    <w:rsid w:val="00C35C2A"/>
    <w:rsid w:val="00C5493A"/>
    <w:rsid w:val="00C93DB8"/>
    <w:rsid w:val="00D16DA9"/>
    <w:rsid w:val="00D2164C"/>
    <w:rsid w:val="00D82084"/>
    <w:rsid w:val="00DE064A"/>
    <w:rsid w:val="00E046BE"/>
    <w:rsid w:val="00E26F7F"/>
    <w:rsid w:val="00EC1A20"/>
    <w:rsid w:val="00F269AD"/>
    <w:rsid w:val="00F3215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paragraph" w:customStyle="1" w:styleId="Heading">
    <w:name w:val="Heading"/>
    <w:basedOn w:val="Normal"/>
    <w:next w:val="Corpsdetexte"/>
    <w:qFormat/>
    <w:pPr>
      <w:keepNext/>
      <w:spacing w:before="240" w:after="120"/>
    </w:pPr>
    <w:rPr>
      <w:rFonts w:ascii="Liberation Sans" w:eastAsia="AR PL UMing CN"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color w:val="00000A"/>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72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FDA"/>
    <w:rPr>
      <w:rFonts w:ascii="Tahoma" w:hAnsi="Tahoma" w:cs="Tahoma"/>
      <w:color w:val="00000A"/>
      <w:sz w:val="16"/>
      <w:szCs w:val="16"/>
    </w:rPr>
  </w:style>
  <w:style w:type="paragraph" w:styleId="NormalWeb">
    <w:name w:val="Normal (Web)"/>
    <w:basedOn w:val="Normal"/>
    <w:uiPriority w:val="99"/>
    <w:unhideWhenUsed/>
    <w:rsid w:val="00055C2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D16DA9"/>
    <w:pPr>
      <w:tabs>
        <w:tab w:val="center" w:pos="4536"/>
        <w:tab w:val="right" w:pos="9072"/>
      </w:tabs>
      <w:spacing w:after="0" w:line="240" w:lineRule="auto"/>
    </w:pPr>
  </w:style>
  <w:style w:type="character" w:customStyle="1" w:styleId="En-tteCar">
    <w:name w:val="En-tête Car"/>
    <w:basedOn w:val="Policepardfaut"/>
    <w:link w:val="En-tte"/>
    <w:uiPriority w:val="99"/>
    <w:rsid w:val="00D16DA9"/>
    <w:rPr>
      <w:color w:val="00000A"/>
      <w:sz w:val="22"/>
    </w:r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DA9"/>
    <w:rPr>
      <w:color w:val="00000A"/>
      <w:sz w:val="22"/>
    </w:rPr>
  </w:style>
  <w:style w:type="character" w:customStyle="1" w:styleId="object">
    <w:name w:val="object"/>
    <w:basedOn w:val="Policepardfaut"/>
    <w:rsid w:val="00D2164C"/>
  </w:style>
  <w:style w:type="table" w:styleId="Grilledutableau">
    <w:name w:val="Table Grid"/>
    <w:basedOn w:val="TableauNormal"/>
    <w:uiPriority w:val="59"/>
    <w:rsid w:val="008E0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0A85"/>
    <w:pPr>
      <w:autoSpaceDE w:val="0"/>
      <w:autoSpaceDN w:val="0"/>
      <w:adjustRightInd w:val="0"/>
    </w:pPr>
    <w:rPr>
      <w:rFonts w:ascii="Wingdings 3" w:hAnsi="Wingdings 3" w:cs="Wingdings 3"/>
      <w:color w:val="000000"/>
      <w:sz w:val="24"/>
      <w:szCs w:val="24"/>
    </w:rPr>
  </w:style>
  <w:style w:type="character" w:customStyle="1" w:styleId="tgc">
    <w:name w:val="_tgc"/>
    <w:basedOn w:val="Policepardfaut"/>
    <w:rsid w:val="00C35C2A"/>
  </w:style>
  <w:style w:type="character" w:styleId="Accentuation">
    <w:name w:val="Emphasis"/>
    <w:basedOn w:val="Policepardfaut"/>
    <w:uiPriority w:val="20"/>
    <w:qFormat/>
    <w:rsid w:val="00B95E9F"/>
    <w:rPr>
      <w:i/>
      <w:iCs/>
    </w:rPr>
  </w:style>
  <w:style w:type="character" w:styleId="lev">
    <w:name w:val="Strong"/>
    <w:basedOn w:val="Policepardfaut"/>
    <w:uiPriority w:val="22"/>
    <w:qFormat/>
    <w:rsid w:val="00E046BE"/>
    <w:rPr>
      <w:b/>
      <w:bCs/>
    </w:rPr>
  </w:style>
  <w:style w:type="paragraph" w:customStyle="1" w:styleId="paragraph">
    <w:name w:val="paragraph"/>
    <w:basedOn w:val="Normal"/>
    <w:rsid w:val="001C36B4"/>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character" w:customStyle="1" w:styleId="eop">
    <w:name w:val="eop"/>
    <w:basedOn w:val="Policepardfaut"/>
    <w:rsid w:val="001C36B4"/>
  </w:style>
  <w:style w:type="character" w:customStyle="1" w:styleId="normaltextrun">
    <w:name w:val="normaltextrun"/>
    <w:basedOn w:val="Policepardfaut"/>
    <w:rsid w:val="001C36B4"/>
  </w:style>
  <w:style w:type="character" w:styleId="Lienhypertexte">
    <w:name w:val="Hyperlink"/>
    <w:basedOn w:val="Policepardfaut"/>
    <w:uiPriority w:val="99"/>
    <w:semiHidden/>
    <w:unhideWhenUsed/>
    <w:rsid w:val="001C36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paragraph" w:customStyle="1" w:styleId="Heading">
    <w:name w:val="Heading"/>
    <w:basedOn w:val="Normal"/>
    <w:next w:val="Corpsdetexte"/>
    <w:qFormat/>
    <w:pPr>
      <w:keepNext/>
      <w:spacing w:before="240" w:after="120"/>
    </w:pPr>
    <w:rPr>
      <w:rFonts w:ascii="Liberation Sans" w:eastAsia="AR PL UMing CN"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color w:val="00000A"/>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72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FDA"/>
    <w:rPr>
      <w:rFonts w:ascii="Tahoma" w:hAnsi="Tahoma" w:cs="Tahoma"/>
      <w:color w:val="00000A"/>
      <w:sz w:val="16"/>
      <w:szCs w:val="16"/>
    </w:rPr>
  </w:style>
  <w:style w:type="paragraph" w:styleId="NormalWeb">
    <w:name w:val="Normal (Web)"/>
    <w:basedOn w:val="Normal"/>
    <w:uiPriority w:val="99"/>
    <w:unhideWhenUsed/>
    <w:rsid w:val="00055C2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D16DA9"/>
    <w:pPr>
      <w:tabs>
        <w:tab w:val="center" w:pos="4536"/>
        <w:tab w:val="right" w:pos="9072"/>
      </w:tabs>
      <w:spacing w:after="0" w:line="240" w:lineRule="auto"/>
    </w:pPr>
  </w:style>
  <w:style w:type="character" w:customStyle="1" w:styleId="En-tteCar">
    <w:name w:val="En-tête Car"/>
    <w:basedOn w:val="Policepardfaut"/>
    <w:link w:val="En-tte"/>
    <w:uiPriority w:val="99"/>
    <w:rsid w:val="00D16DA9"/>
    <w:rPr>
      <w:color w:val="00000A"/>
      <w:sz w:val="22"/>
    </w:r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DA9"/>
    <w:rPr>
      <w:color w:val="00000A"/>
      <w:sz w:val="22"/>
    </w:rPr>
  </w:style>
  <w:style w:type="character" w:customStyle="1" w:styleId="object">
    <w:name w:val="object"/>
    <w:basedOn w:val="Policepardfaut"/>
    <w:rsid w:val="00D2164C"/>
  </w:style>
  <w:style w:type="table" w:styleId="Grilledutableau">
    <w:name w:val="Table Grid"/>
    <w:basedOn w:val="TableauNormal"/>
    <w:uiPriority w:val="59"/>
    <w:rsid w:val="008E0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0A85"/>
    <w:pPr>
      <w:autoSpaceDE w:val="0"/>
      <w:autoSpaceDN w:val="0"/>
      <w:adjustRightInd w:val="0"/>
    </w:pPr>
    <w:rPr>
      <w:rFonts w:ascii="Wingdings 3" w:hAnsi="Wingdings 3" w:cs="Wingdings 3"/>
      <w:color w:val="000000"/>
      <w:sz w:val="24"/>
      <w:szCs w:val="24"/>
    </w:rPr>
  </w:style>
  <w:style w:type="character" w:customStyle="1" w:styleId="tgc">
    <w:name w:val="_tgc"/>
    <w:basedOn w:val="Policepardfaut"/>
    <w:rsid w:val="00C35C2A"/>
  </w:style>
  <w:style w:type="character" w:styleId="Accentuation">
    <w:name w:val="Emphasis"/>
    <w:basedOn w:val="Policepardfaut"/>
    <w:uiPriority w:val="20"/>
    <w:qFormat/>
    <w:rsid w:val="00B95E9F"/>
    <w:rPr>
      <w:i/>
      <w:iCs/>
    </w:rPr>
  </w:style>
  <w:style w:type="character" w:styleId="lev">
    <w:name w:val="Strong"/>
    <w:basedOn w:val="Policepardfaut"/>
    <w:uiPriority w:val="22"/>
    <w:qFormat/>
    <w:rsid w:val="00E046BE"/>
    <w:rPr>
      <w:b/>
      <w:bCs/>
    </w:rPr>
  </w:style>
  <w:style w:type="paragraph" w:customStyle="1" w:styleId="paragraph">
    <w:name w:val="paragraph"/>
    <w:basedOn w:val="Normal"/>
    <w:rsid w:val="001C36B4"/>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character" w:customStyle="1" w:styleId="eop">
    <w:name w:val="eop"/>
    <w:basedOn w:val="Policepardfaut"/>
    <w:rsid w:val="001C36B4"/>
  </w:style>
  <w:style w:type="character" w:customStyle="1" w:styleId="normaltextrun">
    <w:name w:val="normaltextrun"/>
    <w:basedOn w:val="Policepardfaut"/>
    <w:rsid w:val="001C36B4"/>
  </w:style>
  <w:style w:type="character" w:styleId="Lienhypertexte">
    <w:name w:val="Hyperlink"/>
    <w:basedOn w:val="Policepardfaut"/>
    <w:uiPriority w:val="99"/>
    <w:semiHidden/>
    <w:unhideWhenUsed/>
    <w:rsid w:val="001C36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449">
      <w:bodyDiv w:val="1"/>
      <w:marLeft w:val="0"/>
      <w:marRight w:val="0"/>
      <w:marTop w:val="0"/>
      <w:marBottom w:val="0"/>
      <w:divBdr>
        <w:top w:val="none" w:sz="0" w:space="0" w:color="auto"/>
        <w:left w:val="none" w:sz="0" w:space="0" w:color="auto"/>
        <w:bottom w:val="none" w:sz="0" w:space="0" w:color="auto"/>
        <w:right w:val="none" w:sz="0" w:space="0" w:color="auto"/>
      </w:divBdr>
      <w:divsChild>
        <w:div w:id="1788116535">
          <w:marLeft w:val="0"/>
          <w:marRight w:val="0"/>
          <w:marTop w:val="0"/>
          <w:marBottom w:val="0"/>
          <w:divBdr>
            <w:top w:val="none" w:sz="0" w:space="0" w:color="auto"/>
            <w:left w:val="none" w:sz="0" w:space="0" w:color="auto"/>
            <w:bottom w:val="none" w:sz="0" w:space="0" w:color="auto"/>
            <w:right w:val="none" w:sz="0" w:space="0" w:color="auto"/>
          </w:divBdr>
        </w:div>
        <w:div w:id="1113092167">
          <w:marLeft w:val="0"/>
          <w:marRight w:val="0"/>
          <w:marTop w:val="0"/>
          <w:marBottom w:val="0"/>
          <w:divBdr>
            <w:top w:val="none" w:sz="0" w:space="0" w:color="auto"/>
            <w:left w:val="none" w:sz="0" w:space="0" w:color="auto"/>
            <w:bottom w:val="none" w:sz="0" w:space="0" w:color="auto"/>
            <w:right w:val="none" w:sz="0" w:space="0" w:color="auto"/>
          </w:divBdr>
        </w:div>
        <w:div w:id="1887910516">
          <w:marLeft w:val="0"/>
          <w:marRight w:val="0"/>
          <w:marTop w:val="0"/>
          <w:marBottom w:val="0"/>
          <w:divBdr>
            <w:top w:val="none" w:sz="0" w:space="0" w:color="auto"/>
            <w:left w:val="none" w:sz="0" w:space="0" w:color="auto"/>
            <w:bottom w:val="none" w:sz="0" w:space="0" w:color="auto"/>
            <w:right w:val="none" w:sz="0" w:space="0" w:color="auto"/>
          </w:divBdr>
        </w:div>
        <w:div w:id="2066905341">
          <w:marLeft w:val="0"/>
          <w:marRight w:val="0"/>
          <w:marTop w:val="0"/>
          <w:marBottom w:val="0"/>
          <w:divBdr>
            <w:top w:val="none" w:sz="0" w:space="0" w:color="auto"/>
            <w:left w:val="none" w:sz="0" w:space="0" w:color="auto"/>
            <w:bottom w:val="none" w:sz="0" w:space="0" w:color="auto"/>
            <w:right w:val="none" w:sz="0" w:space="0" w:color="auto"/>
          </w:divBdr>
        </w:div>
        <w:div w:id="671564123">
          <w:marLeft w:val="0"/>
          <w:marRight w:val="0"/>
          <w:marTop w:val="0"/>
          <w:marBottom w:val="0"/>
          <w:divBdr>
            <w:top w:val="none" w:sz="0" w:space="0" w:color="auto"/>
            <w:left w:val="none" w:sz="0" w:space="0" w:color="auto"/>
            <w:bottom w:val="none" w:sz="0" w:space="0" w:color="auto"/>
            <w:right w:val="none" w:sz="0" w:space="0" w:color="auto"/>
          </w:divBdr>
        </w:div>
        <w:div w:id="1573152126">
          <w:marLeft w:val="0"/>
          <w:marRight w:val="0"/>
          <w:marTop w:val="0"/>
          <w:marBottom w:val="0"/>
          <w:divBdr>
            <w:top w:val="none" w:sz="0" w:space="0" w:color="auto"/>
            <w:left w:val="none" w:sz="0" w:space="0" w:color="auto"/>
            <w:bottom w:val="none" w:sz="0" w:space="0" w:color="auto"/>
            <w:right w:val="none" w:sz="0" w:space="0" w:color="auto"/>
          </w:divBdr>
        </w:div>
        <w:div w:id="1103838056">
          <w:marLeft w:val="0"/>
          <w:marRight w:val="0"/>
          <w:marTop w:val="0"/>
          <w:marBottom w:val="0"/>
          <w:divBdr>
            <w:top w:val="none" w:sz="0" w:space="0" w:color="auto"/>
            <w:left w:val="none" w:sz="0" w:space="0" w:color="auto"/>
            <w:bottom w:val="none" w:sz="0" w:space="0" w:color="auto"/>
            <w:right w:val="none" w:sz="0" w:space="0" w:color="auto"/>
          </w:divBdr>
        </w:div>
        <w:div w:id="622612444">
          <w:marLeft w:val="0"/>
          <w:marRight w:val="0"/>
          <w:marTop w:val="0"/>
          <w:marBottom w:val="0"/>
          <w:divBdr>
            <w:top w:val="none" w:sz="0" w:space="0" w:color="auto"/>
            <w:left w:val="none" w:sz="0" w:space="0" w:color="auto"/>
            <w:bottom w:val="none" w:sz="0" w:space="0" w:color="auto"/>
            <w:right w:val="none" w:sz="0" w:space="0" w:color="auto"/>
          </w:divBdr>
        </w:div>
        <w:div w:id="1680965224">
          <w:marLeft w:val="0"/>
          <w:marRight w:val="0"/>
          <w:marTop w:val="0"/>
          <w:marBottom w:val="0"/>
          <w:divBdr>
            <w:top w:val="none" w:sz="0" w:space="0" w:color="auto"/>
            <w:left w:val="none" w:sz="0" w:space="0" w:color="auto"/>
            <w:bottom w:val="none" w:sz="0" w:space="0" w:color="auto"/>
            <w:right w:val="none" w:sz="0" w:space="0" w:color="auto"/>
          </w:divBdr>
          <w:divsChild>
            <w:div w:id="951016016">
              <w:marLeft w:val="0"/>
              <w:marRight w:val="0"/>
              <w:marTop w:val="0"/>
              <w:marBottom w:val="0"/>
              <w:divBdr>
                <w:top w:val="none" w:sz="0" w:space="0" w:color="auto"/>
                <w:left w:val="none" w:sz="0" w:space="0" w:color="auto"/>
                <w:bottom w:val="none" w:sz="0" w:space="0" w:color="auto"/>
                <w:right w:val="none" w:sz="0" w:space="0" w:color="auto"/>
              </w:divBdr>
              <w:divsChild>
                <w:div w:id="9323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845664">
      <w:bodyDiv w:val="1"/>
      <w:marLeft w:val="0"/>
      <w:marRight w:val="0"/>
      <w:marTop w:val="0"/>
      <w:marBottom w:val="0"/>
      <w:divBdr>
        <w:top w:val="none" w:sz="0" w:space="0" w:color="auto"/>
        <w:left w:val="none" w:sz="0" w:space="0" w:color="auto"/>
        <w:bottom w:val="none" w:sz="0" w:space="0" w:color="auto"/>
        <w:right w:val="none" w:sz="0" w:space="0" w:color="auto"/>
      </w:divBdr>
    </w:div>
    <w:div w:id="952369492">
      <w:bodyDiv w:val="1"/>
      <w:marLeft w:val="0"/>
      <w:marRight w:val="0"/>
      <w:marTop w:val="0"/>
      <w:marBottom w:val="0"/>
      <w:divBdr>
        <w:top w:val="none" w:sz="0" w:space="0" w:color="auto"/>
        <w:left w:val="none" w:sz="0" w:space="0" w:color="auto"/>
        <w:bottom w:val="none" w:sz="0" w:space="0" w:color="auto"/>
        <w:right w:val="none" w:sz="0" w:space="0" w:color="auto"/>
      </w:divBdr>
      <w:divsChild>
        <w:div w:id="1999072877">
          <w:marLeft w:val="0"/>
          <w:marRight w:val="0"/>
          <w:marTop w:val="0"/>
          <w:marBottom w:val="0"/>
          <w:divBdr>
            <w:top w:val="none" w:sz="0" w:space="0" w:color="auto"/>
            <w:left w:val="none" w:sz="0" w:space="0" w:color="auto"/>
            <w:bottom w:val="none" w:sz="0" w:space="0" w:color="auto"/>
            <w:right w:val="none" w:sz="0" w:space="0" w:color="auto"/>
          </w:divBdr>
        </w:div>
        <w:div w:id="2138209336">
          <w:marLeft w:val="0"/>
          <w:marRight w:val="0"/>
          <w:marTop w:val="0"/>
          <w:marBottom w:val="0"/>
          <w:divBdr>
            <w:top w:val="none" w:sz="0" w:space="0" w:color="auto"/>
            <w:left w:val="none" w:sz="0" w:space="0" w:color="auto"/>
            <w:bottom w:val="none" w:sz="0" w:space="0" w:color="auto"/>
            <w:right w:val="none" w:sz="0" w:space="0" w:color="auto"/>
          </w:divBdr>
        </w:div>
        <w:div w:id="910311581">
          <w:marLeft w:val="0"/>
          <w:marRight w:val="0"/>
          <w:marTop w:val="0"/>
          <w:marBottom w:val="0"/>
          <w:divBdr>
            <w:top w:val="none" w:sz="0" w:space="0" w:color="auto"/>
            <w:left w:val="none" w:sz="0" w:space="0" w:color="auto"/>
            <w:bottom w:val="none" w:sz="0" w:space="0" w:color="auto"/>
            <w:right w:val="none" w:sz="0" w:space="0" w:color="auto"/>
          </w:divBdr>
          <w:divsChild>
            <w:div w:id="455872317">
              <w:marLeft w:val="0"/>
              <w:marRight w:val="0"/>
              <w:marTop w:val="0"/>
              <w:marBottom w:val="0"/>
              <w:divBdr>
                <w:top w:val="none" w:sz="0" w:space="0" w:color="auto"/>
                <w:left w:val="none" w:sz="0" w:space="0" w:color="auto"/>
                <w:bottom w:val="none" w:sz="0" w:space="0" w:color="auto"/>
                <w:right w:val="none" w:sz="0" w:space="0" w:color="auto"/>
              </w:divBdr>
            </w:div>
            <w:div w:id="825703137">
              <w:marLeft w:val="0"/>
              <w:marRight w:val="0"/>
              <w:marTop w:val="0"/>
              <w:marBottom w:val="0"/>
              <w:divBdr>
                <w:top w:val="none" w:sz="0" w:space="0" w:color="auto"/>
                <w:left w:val="none" w:sz="0" w:space="0" w:color="auto"/>
                <w:bottom w:val="none" w:sz="0" w:space="0" w:color="auto"/>
                <w:right w:val="none" w:sz="0" w:space="0" w:color="auto"/>
              </w:divBdr>
            </w:div>
            <w:div w:id="1805924970">
              <w:marLeft w:val="0"/>
              <w:marRight w:val="0"/>
              <w:marTop w:val="0"/>
              <w:marBottom w:val="0"/>
              <w:divBdr>
                <w:top w:val="none" w:sz="0" w:space="0" w:color="auto"/>
                <w:left w:val="none" w:sz="0" w:space="0" w:color="auto"/>
                <w:bottom w:val="none" w:sz="0" w:space="0" w:color="auto"/>
                <w:right w:val="none" w:sz="0" w:space="0" w:color="auto"/>
              </w:divBdr>
            </w:div>
            <w:div w:id="471560218">
              <w:marLeft w:val="0"/>
              <w:marRight w:val="0"/>
              <w:marTop w:val="0"/>
              <w:marBottom w:val="0"/>
              <w:divBdr>
                <w:top w:val="none" w:sz="0" w:space="0" w:color="auto"/>
                <w:left w:val="none" w:sz="0" w:space="0" w:color="auto"/>
                <w:bottom w:val="none" w:sz="0" w:space="0" w:color="auto"/>
                <w:right w:val="none" w:sz="0" w:space="0" w:color="auto"/>
              </w:divBdr>
            </w:div>
          </w:divsChild>
        </w:div>
        <w:div w:id="1432553075">
          <w:marLeft w:val="0"/>
          <w:marRight w:val="0"/>
          <w:marTop w:val="0"/>
          <w:marBottom w:val="0"/>
          <w:divBdr>
            <w:top w:val="none" w:sz="0" w:space="0" w:color="auto"/>
            <w:left w:val="none" w:sz="0" w:space="0" w:color="auto"/>
            <w:bottom w:val="none" w:sz="0" w:space="0" w:color="auto"/>
            <w:right w:val="none" w:sz="0" w:space="0" w:color="auto"/>
          </w:divBdr>
        </w:div>
        <w:div w:id="1642610384">
          <w:marLeft w:val="0"/>
          <w:marRight w:val="0"/>
          <w:marTop w:val="0"/>
          <w:marBottom w:val="0"/>
          <w:divBdr>
            <w:top w:val="none" w:sz="0" w:space="0" w:color="auto"/>
            <w:left w:val="none" w:sz="0" w:space="0" w:color="auto"/>
            <w:bottom w:val="none" w:sz="0" w:space="0" w:color="auto"/>
            <w:right w:val="none" w:sz="0" w:space="0" w:color="auto"/>
          </w:divBdr>
        </w:div>
        <w:div w:id="1178929131">
          <w:marLeft w:val="0"/>
          <w:marRight w:val="0"/>
          <w:marTop w:val="0"/>
          <w:marBottom w:val="0"/>
          <w:divBdr>
            <w:top w:val="none" w:sz="0" w:space="0" w:color="auto"/>
            <w:left w:val="none" w:sz="0" w:space="0" w:color="auto"/>
            <w:bottom w:val="none" w:sz="0" w:space="0" w:color="auto"/>
            <w:right w:val="none" w:sz="0" w:space="0" w:color="auto"/>
          </w:divBdr>
        </w:div>
        <w:div w:id="356396607">
          <w:marLeft w:val="0"/>
          <w:marRight w:val="0"/>
          <w:marTop w:val="0"/>
          <w:marBottom w:val="0"/>
          <w:divBdr>
            <w:top w:val="none" w:sz="0" w:space="0" w:color="auto"/>
            <w:left w:val="none" w:sz="0" w:space="0" w:color="auto"/>
            <w:bottom w:val="none" w:sz="0" w:space="0" w:color="auto"/>
            <w:right w:val="none" w:sz="0" w:space="0" w:color="auto"/>
          </w:divBdr>
          <w:divsChild>
            <w:div w:id="1543899742">
              <w:marLeft w:val="0"/>
              <w:marRight w:val="0"/>
              <w:marTop w:val="0"/>
              <w:marBottom w:val="0"/>
              <w:divBdr>
                <w:top w:val="none" w:sz="0" w:space="0" w:color="auto"/>
                <w:left w:val="none" w:sz="0" w:space="0" w:color="auto"/>
                <w:bottom w:val="none" w:sz="0" w:space="0" w:color="auto"/>
                <w:right w:val="none" w:sz="0" w:space="0" w:color="auto"/>
              </w:divBdr>
            </w:div>
            <w:div w:id="805898885">
              <w:marLeft w:val="0"/>
              <w:marRight w:val="0"/>
              <w:marTop w:val="0"/>
              <w:marBottom w:val="0"/>
              <w:divBdr>
                <w:top w:val="none" w:sz="0" w:space="0" w:color="auto"/>
                <w:left w:val="none" w:sz="0" w:space="0" w:color="auto"/>
                <w:bottom w:val="none" w:sz="0" w:space="0" w:color="auto"/>
                <w:right w:val="none" w:sz="0" w:space="0" w:color="auto"/>
              </w:divBdr>
            </w:div>
            <w:div w:id="681902714">
              <w:marLeft w:val="0"/>
              <w:marRight w:val="0"/>
              <w:marTop w:val="0"/>
              <w:marBottom w:val="0"/>
              <w:divBdr>
                <w:top w:val="none" w:sz="0" w:space="0" w:color="auto"/>
                <w:left w:val="none" w:sz="0" w:space="0" w:color="auto"/>
                <w:bottom w:val="none" w:sz="0" w:space="0" w:color="auto"/>
                <w:right w:val="none" w:sz="0" w:space="0" w:color="auto"/>
              </w:divBdr>
            </w:div>
            <w:div w:id="55248809">
              <w:marLeft w:val="0"/>
              <w:marRight w:val="0"/>
              <w:marTop w:val="0"/>
              <w:marBottom w:val="0"/>
              <w:divBdr>
                <w:top w:val="none" w:sz="0" w:space="0" w:color="auto"/>
                <w:left w:val="none" w:sz="0" w:space="0" w:color="auto"/>
                <w:bottom w:val="none" w:sz="0" w:space="0" w:color="auto"/>
                <w:right w:val="none" w:sz="0" w:space="0" w:color="auto"/>
              </w:divBdr>
            </w:div>
            <w:div w:id="1642686525">
              <w:marLeft w:val="0"/>
              <w:marRight w:val="0"/>
              <w:marTop w:val="0"/>
              <w:marBottom w:val="0"/>
              <w:divBdr>
                <w:top w:val="none" w:sz="0" w:space="0" w:color="auto"/>
                <w:left w:val="none" w:sz="0" w:space="0" w:color="auto"/>
                <w:bottom w:val="none" w:sz="0" w:space="0" w:color="auto"/>
                <w:right w:val="none" w:sz="0" w:space="0" w:color="auto"/>
              </w:divBdr>
            </w:div>
          </w:divsChild>
        </w:div>
        <w:div w:id="1220633308">
          <w:marLeft w:val="0"/>
          <w:marRight w:val="0"/>
          <w:marTop w:val="0"/>
          <w:marBottom w:val="0"/>
          <w:divBdr>
            <w:top w:val="none" w:sz="0" w:space="0" w:color="auto"/>
            <w:left w:val="none" w:sz="0" w:space="0" w:color="auto"/>
            <w:bottom w:val="none" w:sz="0" w:space="0" w:color="auto"/>
            <w:right w:val="none" w:sz="0" w:space="0" w:color="auto"/>
          </w:divBdr>
        </w:div>
        <w:div w:id="947665133">
          <w:marLeft w:val="0"/>
          <w:marRight w:val="0"/>
          <w:marTop w:val="0"/>
          <w:marBottom w:val="0"/>
          <w:divBdr>
            <w:top w:val="none" w:sz="0" w:space="0" w:color="auto"/>
            <w:left w:val="none" w:sz="0" w:space="0" w:color="auto"/>
            <w:bottom w:val="none" w:sz="0" w:space="0" w:color="auto"/>
            <w:right w:val="none" w:sz="0" w:space="0" w:color="auto"/>
          </w:divBdr>
        </w:div>
        <w:div w:id="1698311223">
          <w:marLeft w:val="0"/>
          <w:marRight w:val="0"/>
          <w:marTop w:val="0"/>
          <w:marBottom w:val="0"/>
          <w:divBdr>
            <w:top w:val="none" w:sz="0" w:space="0" w:color="auto"/>
            <w:left w:val="none" w:sz="0" w:space="0" w:color="auto"/>
            <w:bottom w:val="none" w:sz="0" w:space="0" w:color="auto"/>
            <w:right w:val="none" w:sz="0" w:space="0" w:color="auto"/>
          </w:divBdr>
        </w:div>
        <w:div w:id="1256400567">
          <w:marLeft w:val="0"/>
          <w:marRight w:val="0"/>
          <w:marTop w:val="0"/>
          <w:marBottom w:val="0"/>
          <w:divBdr>
            <w:top w:val="none" w:sz="0" w:space="0" w:color="auto"/>
            <w:left w:val="none" w:sz="0" w:space="0" w:color="auto"/>
            <w:bottom w:val="none" w:sz="0" w:space="0" w:color="auto"/>
            <w:right w:val="none" w:sz="0" w:space="0" w:color="auto"/>
          </w:divBdr>
        </w:div>
        <w:div w:id="1096484343">
          <w:marLeft w:val="0"/>
          <w:marRight w:val="0"/>
          <w:marTop w:val="0"/>
          <w:marBottom w:val="0"/>
          <w:divBdr>
            <w:top w:val="none" w:sz="0" w:space="0" w:color="auto"/>
            <w:left w:val="none" w:sz="0" w:space="0" w:color="auto"/>
            <w:bottom w:val="none" w:sz="0" w:space="0" w:color="auto"/>
            <w:right w:val="none" w:sz="0" w:space="0" w:color="auto"/>
          </w:divBdr>
        </w:div>
        <w:div w:id="1441335433">
          <w:marLeft w:val="0"/>
          <w:marRight w:val="0"/>
          <w:marTop w:val="0"/>
          <w:marBottom w:val="0"/>
          <w:divBdr>
            <w:top w:val="none" w:sz="0" w:space="0" w:color="auto"/>
            <w:left w:val="none" w:sz="0" w:space="0" w:color="auto"/>
            <w:bottom w:val="none" w:sz="0" w:space="0" w:color="auto"/>
            <w:right w:val="none" w:sz="0" w:space="0" w:color="auto"/>
          </w:divBdr>
        </w:div>
        <w:div w:id="170216491">
          <w:marLeft w:val="0"/>
          <w:marRight w:val="0"/>
          <w:marTop w:val="0"/>
          <w:marBottom w:val="0"/>
          <w:divBdr>
            <w:top w:val="none" w:sz="0" w:space="0" w:color="auto"/>
            <w:left w:val="none" w:sz="0" w:space="0" w:color="auto"/>
            <w:bottom w:val="none" w:sz="0" w:space="0" w:color="auto"/>
            <w:right w:val="none" w:sz="0" w:space="0" w:color="auto"/>
          </w:divBdr>
        </w:div>
      </w:divsChild>
    </w:div>
    <w:div w:id="1169832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F9729350.dotm</Template>
  <TotalTime>0</TotalTime>
  <Pages>2</Pages>
  <Words>592</Words>
  <Characters>3257</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ENSG</Company>
  <LinksUpToDate>false</LinksUpToDate>
  <CharactersWithSpaces>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Duperet</dc:creator>
  <cp:lastModifiedBy>Aini amokrane</cp:lastModifiedBy>
  <cp:revision>2</cp:revision>
  <cp:lastPrinted>2017-11-29T08:27:00Z</cp:lastPrinted>
  <dcterms:created xsi:type="dcterms:W3CDTF">2017-12-22T15:17:00Z</dcterms:created>
  <dcterms:modified xsi:type="dcterms:W3CDTF">2017-12-22T15:17:00Z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ENSG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