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90" w:rsidRDefault="00986890" w:rsidP="001F5BF9">
      <w:pPr>
        <w:pStyle w:val="Titre1"/>
        <w:pBdr>
          <w:bottom w:val="single" w:sz="4" w:space="1" w:color="00000A"/>
        </w:pBdr>
        <w:shd w:val="clear" w:color="auto" w:fill="F2F2F2" w:themeFill="background1" w:themeFillShade="F2"/>
        <w:spacing w:before="120" w:after="120"/>
        <w:jc w:val="center"/>
      </w:pPr>
      <w:r>
        <w:t>FIL ROUGE</w:t>
      </w:r>
    </w:p>
    <w:p w:rsidR="00986890" w:rsidRDefault="00535DFF" w:rsidP="001F5BF9">
      <w:pPr>
        <w:pStyle w:val="Titre1"/>
        <w:pBdr>
          <w:bottom w:val="single" w:sz="4" w:space="1" w:color="00000A"/>
        </w:pBdr>
        <w:shd w:val="clear" w:color="auto" w:fill="F2F2F2" w:themeFill="background1" w:themeFillShade="F2"/>
        <w:spacing w:before="120" w:after="120"/>
        <w:jc w:val="center"/>
      </w:pPr>
      <w:r>
        <w:t>« </w:t>
      </w:r>
      <w:r w:rsidR="00D36BC7">
        <w:t>Organisation</w:t>
      </w:r>
      <w:r w:rsidR="007C6282">
        <w:t>/animation</w:t>
      </w:r>
      <w:r w:rsidR="00D36BC7">
        <w:t xml:space="preserve"> de la Recherche</w:t>
      </w:r>
      <w:r>
        <w:t> »</w:t>
      </w:r>
    </w:p>
    <w:p w:rsidR="00535DFF" w:rsidRDefault="00535DFF" w:rsidP="004050FD">
      <w:pPr>
        <w:pStyle w:val="Titre2"/>
        <w:pBdr>
          <w:bottom w:val="single" w:sz="4" w:space="1" w:color="00000A"/>
        </w:pBdr>
        <w:rPr>
          <w:b w:val="0"/>
          <w:bCs w:val="0"/>
        </w:rPr>
      </w:pPr>
    </w:p>
    <w:p w:rsidR="00C01D82" w:rsidRPr="004050FD" w:rsidRDefault="00D16DA9" w:rsidP="004050FD">
      <w:pPr>
        <w:pStyle w:val="Titre2"/>
        <w:pBdr>
          <w:bottom w:val="single" w:sz="4" w:space="1" w:color="00000A"/>
        </w:pBdr>
        <w:rPr>
          <w:b w:val="0"/>
          <w:bCs w:val="0"/>
        </w:rPr>
      </w:pPr>
      <w:r w:rsidRPr="004050FD">
        <w:rPr>
          <w:b w:val="0"/>
          <w:bCs w:val="0"/>
        </w:rPr>
        <w:t>Contexte</w:t>
      </w:r>
    </w:p>
    <w:p w:rsidR="001A13E9" w:rsidRPr="00453FFD" w:rsidRDefault="001A13E9" w:rsidP="00453FFD">
      <w:pPr>
        <w:shd w:val="clear" w:color="auto" w:fill="FFFFFF" w:themeFill="background1"/>
        <w:spacing w:after="0" w:line="240" w:lineRule="auto"/>
        <w:jc w:val="both"/>
      </w:pPr>
      <w:r w:rsidRPr="00453FFD">
        <w:t xml:space="preserve">Dans le cadre de la création de l’Université-Cible (UC), l’organisation de la recherche des établissements concernés est susceptible d’évoluer : gouvernance et instances de décision, stratégie scientifique, méthodes de distributions de moyens, structuration de la recherche. Le projet d’ISITE prévoit la création d’un unique établissement fusionnant EIVP, EISEE, ENSA VT, ENSG, UPEM et IFSTAR. L’objectif de ce « fil rouge » est multiple : en quelques mots, il s’agit de </w:t>
      </w:r>
    </w:p>
    <w:p w:rsidR="001A13E9" w:rsidRPr="00453FFD" w:rsidRDefault="001A13E9" w:rsidP="00535DFF">
      <w:pPr>
        <w:pStyle w:val="Paragraphedeliste"/>
        <w:numPr>
          <w:ilvl w:val="0"/>
          <w:numId w:val="14"/>
        </w:numPr>
        <w:shd w:val="clear" w:color="auto" w:fill="FFFFFF" w:themeFill="background1"/>
        <w:spacing w:after="0" w:line="240" w:lineRule="auto"/>
        <w:jc w:val="both"/>
      </w:pPr>
      <w:proofErr w:type="gramStart"/>
      <w:r w:rsidRPr="00453FFD">
        <w:t>faire</w:t>
      </w:r>
      <w:proofErr w:type="gramEnd"/>
      <w:r w:rsidRPr="00453FFD">
        <w:t xml:space="preserve"> l’état des lieux des organisations actuelles dans le champ de la recherche au sein des établissements (à prendre en un sens large : comment cela marche ? qui fait quoi ? quels moyens sont distribués ? qui décide de quoi ? pourquoi est-ce comme cela ?) </w:t>
      </w:r>
    </w:p>
    <w:p w:rsidR="001A13E9" w:rsidRPr="00453FFD" w:rsidRDefault="001A13E9" w:rsidP="00535DFF">
      <w:pPr>
        <w:pStyle w:val="Paragraphedeliste"/>
        <w:numPr>
          <w:ilvl w:val="0"/>
          <w:numId w:val="14"/>
        </w:numPr>
        <w:shd w:val="clear" w:color="auto" w:fill="FFFFFF" w:themeFill="background1"/>
        <w:spacing w:after="0" w:line="240" w:lineRule="auto"/>
        <w:jc w:val="both"/>
      </w:pPr>
      <w:proofErr w:type="gramStart"/>
      <w:r w:rsidRPr="00453FFD">
        <w:t>comparer</w:t>
      </w:r>
      <w:proofErr w:type="gramEnd"/>
      <w:r w:rsidRPr="00453FFD">
        <w:t xml:space="preserve"> les différentes « organisations » et partager si possible sur les raisons de celles-ci ;</w:t>
      </w:r>
    </w:p>
    <w:p w:rsidR="001A13E9" w:rsidRPr="00453FFD" w:rsidRDefault="001A13E9" w:rsidP="00535DFF">
      <w:pPr>
        <w:pStyle w:val="Paragraphedeliste"/>
        <w:numPr>
          <w:ilvl w:val="0"/>
          <w:numId w:val="14"/>
        </w:numPr>
        <w:shd w:val="clear" w:color="auto" w:fill="FFFFFF" w:themeFill="background1"/>
        <w:spacing w:after="0" w:line="240" w:lineRule="auto"/>
        <w:jc w:val="both"/>
      </w:pPr>
      <w:proofErr w:type="gramStart"/>
      <w:r w:rsidRPr="00453FFD">
        <w:t>essayer</w:t>
      </w:r>
      <w:proofErr w:type="gramEnd"/>
      <w:r w:rsidRPr="00453FFD">
        <w:t xml:space="preserve"> d’en mesurer les avantages et les inconvénients ;</w:t>
      </w:r>
    </w:p>
    <w:p w:rsidR="001A13E9" w:rsidRPr="00453FFD" w:rsidRDefault="001A13E9" w:rsidP="00535DFF">
      <w:pPr>
        <w:pStyle w:val="Paragraphedeliste"/>
        <w:numPr>
          <w:ilvl w:val="0"/>
          <w:numId w:val="14"/>
        </w:numPr>
        <w:shd w:val="clear" w:color="auto" w:fill="FFFFFF" w:themeFill="background1"/>
        <w:spacing w:after="0" w:line="240" w:lineRule="auto"/>
        <w:jc w:val="both"/>
      </w:pPr>
      <w:proofErr w:type="gramStart"/>
      <w:r w:rsidRPr="00453FFD">
        <w:t>commencer</w:t>
      </w:r>
      <w:proofErr w:type="gramEnd"/>
      <w:r w:rsidRPr="00453FFD">
        <w:t xml:space="preserve"> à faire des propositions</w:t>
      </w:r>
      <w:r w:rsidR="00453FFD" w:rsidRPr="00453FFD">
        <w:t xml:space="preserve"> ou des scénarios pour faire évoluer (ou pas) nos organisations et pratiques.</w:t>
      </w:r>
    </w:p>
    <w:p w:rsidR="00453FFD" w:rsidRPr="00453FFD" w:rsidRDefault="00453FFD" w:rsidP="00453FFD">
      <w:pPr>
        <w:shd w:val="clear" w:color="auto" w:fill="FFFFFF" w:themeFill="background1"/>
        <w:spacing w:after="0" w:line="240" w:lineRule="auto"/>
        <w:jc w:val="both"/>
      </w:pPr>
    </w:p>
    <w:p w:rsidR="00BA36EC" w:rsidRDefault="00483280" w:rsidP="00453FFD">
      <w:pPr>
        <w:shd w:val="clear" w:color="auto" w:fill="FFFFFF" w:themeFill="background1"/>
        <w:spacing w:after="0"/>
      </w:pPr>
      <w:r w:rsidRPr="00453FFD">
        <w:t>Le fil rouge « </w:t>
      </w:r>
      <w:r w:rsidR="00453FFD" w:rsidRPr="00453FFD">
        <w:t xml:space="preserve">Organisation de la recherche dans les </w:t>
      </w:r>
      <w:proofErr w:type="gramStart"/>
      <w:r w:rsidR="00453FFD" w:rsidRPr="00453FFD">
        <w:t xml:space="preserve">établissements </w:t>
      </w:r>
      <w:r w:rsidRPr="00453FFD">
        <w:t> »</w:t>
      </w:r>
      <w:proofErr w:type="gramEnd"/>
      <w:r w:rsidRPr="00453FFD">
        <w:t xml:space="preserve"> permettra de questionner ces </w:t>
      </w:r>
      <w:r w:rsidRPr="00B8645D">
        <w:t xml:space="preserve">différentes </w:t>
      </w:r>
      <w:r w:rsidR="00453FFD" w:rsidRPr="00B8645D">
        <w:t>facettes de « nos organisations »</w:t>
      </w:r>
      <w:r w:rsidRPr="00B8645D">
        <w:rPr>
          <w:i/>
        </w:rPr>
        <w:t xml:space="preserve"> </w:t>
      </w:r>
      <w:r w:rsidR="007C6282">
        <w:t>à travers une série de 6</w:t>
      </w:r>
      <w:r w:rsidRPr="00B8645D">
        <w:t xml:space="preserve"> ateliers :</w:t>
      </w:r>
    </w:p>
    <w:p w:rsidR="00C9432D" w:rsidRPr="00B8645D" w:rsidRDefault="00C9432D" w:rsidP="00453FFD">
      <w:pPr>
        <w:shd w:val="clear" w:color="auto" w:fill="FFFFFF" w:themeFill="background1"/>
        <w:spacing w:after="0"/>
      </w:pPr>
    </w:p>
    <w:p w:rsidR="006200E5" w:rsidRPr="00535DFF" w:rsidRDefault="007C6282" w:rsidP="00BA36EC">
      <w:pPr>
        <w:pStyle w:val="Paragraphedeliste"/>
        <w:numPr>
          <w:ilvl w:val="0"/>
          <w:numId w:val="8"/>
        </w:numPr>
        <w:jc w:val="both"/>
        <w:rPr>
          <w:b/>
        </w:rPr>
      </w:pPr>
      <w:r>
        <w:rPr>
          <w:b/>
        </w:rPr>
        <w:t>« 1. E</w:t>
      </w:r>
      <w:r w:rsidR="00B8645D" w:rsidRPr="00535DFF">
        <w:rPr>
          <w:b/>
        </w:rPr>
        <w:t>tat des lieux</w:t>
      </w:r>
      <w:r w:rsidR="006200E5" w:rsidRPr="00535DFF">
        <w:rPr>
          <w:b/>
        </w:rPr>
        <w:t> </w:t>
      </w:r>
      <w:r>
        <w:rPr>
          <w:b/>
        </w:rPr>
        <w:t>– S</w:t>
      </w:r>
      <w:r w:rsidR="004C596F" w:rsidRPr="00535DFF">
        <w:rPr>
          <w:b/>
        </w:rPr>
        <w:t xml:space="preserve">ujets pour lancer des Groupes de Travail </w:t>
      </w:r>
      <w:r w:rsidR="006200E5" w:rsidRPr="00535DFF">
        <w:rPr>
          <w:b/>
        </w:rPr>
        <w:t>»</w:t>
      </w:r>
    </w:p>
    <w:p w:rsidR="00557CE7" w:rsidRPr="00535DFF" w:rsidRDefault="006200E5" w:rsidP="006200E5">
      <w:pPr>
        <w:pStyle w:val="Paragraphedeliste"/>
        <w:jc w:val="both"/>
        <w:rPr>
          <w:i/>
        </w:rPr>
      </w:pPr>
      <w:r w:rsidRPr="00535DFF">
        <w:rPr>
          <w:i/>
        </w:rPr>
        <w:t xml:space="preserve">Date/lieu : </w:t>
      </w:r>
      <w:r w:rsidR="00B8645D" w:rsidRPr="00535DFF">
        <w:rPr>
          <w:i/>
        </w:rPr>
        <w:t>6</w:t>
      </w:r>
      <w:r w:rsidR="00AE617D" w:rsidRPr="00535DFF">
        <w:rPr>
          <w:i/>
        </w:rPr>
        <w:t xml:space="preserve"> et </w:t>
      </w:r>
      <w:r w:rsidR="00B8645D" w:rsidRPr="00535DFF">
        <w:rPr>
          <w:i/>
        </w:rPr>
        <w:t xml:space="preserve">7 décembre </w:t>
      </w:r>
      <w:r w:rsidR="00AE617D" w:rsidRPr="00535DFF">
        <w:rPr>
          <w:i/>
        </w:rPr>
        <w:t>20</w:t>
      </w:r>
      <w:r w:rsidR="00557CE7" w:rsidRPr="00535DFF">
        <w:rPr>
          <w:i/>
        </w:rPr>
        <w:t xml:space="preserve">17 </w:t>
      </w:r>
      <w:r w:rsidR="00B8645D" w:rsidRPr="00535DFF">
        <w:rPr>
          <w:i/>
        </w:rPr>
        <w:t xml:space="preserve">– </w:t>
      </w:r>
      <w:proofErr w:type="spellStart"/>
      <w:r w:rsidR="00557CE7" w:rsidRPr="00535DFF">
        <w:rPr>
          <w:i/>
        </w:rPr>
        <w:t>Ifsttar</w:t>
      </w:r>
      <w:proofErr w:type="spellEnd"/>
      <w:r w:rsidR="00B8645D" w:rsidRPr="00535DFF">
        <w:rPr>
          <w:i/>
        </w:rPr>
        <w:t xml:space="preserve"> Marne-la-Vallée</w:t>
      </w:r>
    </w:p>
    <w:p w:rsidR="006200E5" w:rsidRPr="00535DFF" w:rsidRDefault="006200E5" w:rsidP="006200E5">
      <w:pPr>
        <w:pStyle w:val="Paragraphedeliste"/>
        <w:numPr>
          <w:ilvl w:val="0"/>
          <w:numId w:val="8"/>
        </w:numPr>
        <w:jc w:val="both"/>
        <w:rPr>
          <w:b/>
        </w:rPr>
      </w:pPr>
      <w:r w:rsidRPr="00535DFF">
        <w:rPr>
          <w:b/>
        </w:rPr>
        <w:t>« </w:t>
      </w:r>
      <w:r w:rsidR="007C6282">
        <w:rPr>
          <w:b/>
        </w:rPr>
        <w:t xml:space="preserve">2. Organisation, animation, stratégie de </w:t>
      </w:r>
      <w:r w:rsidR="00535DFF" w:rsidRPr="00535DFF">
        <w:rPr>
          <w:b/>
        </w:rPr>
        <w:t>recherche</w:t>
      </w:r>
      <w:r w:rsidR="0082629C">
        <w:rPr>
          <w:b/>
        </w:rPr>
        <w:t>, etc. :</w:t>
      </w:r>
      <w:r w:rsidR="00535DFF" w:rsidRPr="00535DFF">
        <w:rPr>
          <w:b/>
        </w:rPr>
        <w:t xml:space="preserve"> par discipline ou par objet ?</w:t>
      </w:r>
      <w:r w:rsidRPr="00535DFF">
        <w:rPr>
          <w:b/>
        </w:rPr>
        <w:t> »</w:t>
      </w:r>
    </w:p>
    <w:p w:rsidR="006200E5" w:rsidRPr="00535DFF" w:rsidRDefault="006200E5" w:rsidP="006200E5">
      <w:pPr>
        <w:pStyle w:val="Paragraphedeliste"/>
        <w:jc w:val="both"/>
        <w:rPr>
          <w:i/>
        </w:rPr>
      </w:pPr>
      <w:r w:rsidRPr="00535DFF">
        <w:rPr>
          <w:i/>
        </w:rPr>
        <w:t xml:space="preserve">Date/lieu : 10 et 11 janvier 2018 – </w:t>
      </w:r>
      <w:proofErr w:type="spellStart"/>
      <w:r w:rsidRPr="00535DFF">
        <w:rPr>
          <w:i/>
        </w:rPr>
        <w:t>Ifsttar</w:t>
      </w:r>
      <w:proofErr w:type="spellEnd"/>
      <w:r w:rsidRPr="00535DFF">
        <w:rPr>
          <w:i/>
        </w:rPr>
        <w:t xml:space="preserve"> Bron</w:t>
      </w:r>
    </w:p>
    <w:p w:rsidR="006200E5" w:rsidRPr="00535DFF" w:rsidRDefault="006200E5" w:rsidP="006200E5">
      <w:pPr>
        <w:pStyle w:val="Paragraphedeliste"/>
        <w:numPr>
          <w:ilvl w:val="0"/>
          <w:numId w:val="8"/>
        </w:numPr>
        <w:jc w:val="both"/>
        <w:rPr>
          <w:b/>
        </w:rPr>
      </w:pPr>
      <w:r w:rsidRPr="00535DFF">
        <w:rPr>
          <w:b/>
        </w:rPr>
        <w:t>« </w:t>
      </w:r>
      <w:r w:rsidR="007C6282">
        <w:rPr>
          <w:b/>
        </w:rPr>
        <w:t xml:space="preserve">3. </w:t>
      </w:r>
      <w:r w:rsidR="00535DFF" w:rsidRPr="00535DFF">
        <w:rPr>
          <w:b/>
        </w:rPr>
        <w:t xml:space="preserve">Structuration de la recherche – </w:t>
      </w:r>
      <w:r w:rsidR="007253CA">
        <w:rPr>
          <w:b/>
        </w:rPr>
        <w:t xml:space="preserve">quelles organisations ? </w:t>
      </w:r>
      <w:r w:rsidR="00535DFF" w:rsidRPr="00535DFF">
        <w:rPr>
          <w:b/>
        </w:rPr>
        <w:t>quels scénarios ?</w:t>
      </w:r>
      <w:r w:rsidRPr="00535DFF">
        <w:rPr>
          <w:b/>
        </w:rPr>
        <w:t> »</w:t>
      </w:r>
    </w:p>
    <w:p w:rsidR="006200E5" w:rsidRPr="00535DFF" w:rsidRDefault="006200E5" w:rsidP="006200E5">
      <w:pPr>
        <w:pStyle w:val="Paragraphedeliste"/>
        <w:jc w:val="both"/>
        <w:rPr>
          <w:i/>
        </w:rPr>
      </w:pPr>
      <w:r w:rsidRPr="00535DFF">
        <w:rPr>
          <w:i/>
        </w:rPr>
        <w:t>Date/lieu : 29 et 30 janvier 2018 – UPEM</w:t>
      </w:r>
    </w:p>
    <w:p w:rsidR="006200E5" w:rsidRPr="00535DFF" w:rsidRDefault="006200E5" w:rsidP="006200E5">
      <w:pPr>
        <w:pStyle w:val="Paragraphedeliste"/>
        <w:numPr>
          <w:ilvl w:val="0"/>
          <w:numId w:val="8"/>
        </w:numPr>
        <w:jc w:val="both"/>
        <w:rPr>
          <w:b/>
        </w:rPr>
      </w:pPr>
      <w:r w:rsidRPr="00535DFF">
        <w:rPr>
          <w:b/>
        </w:rPr>
        <w:t>« </w:t>
      </w:r>
      <w:r w:rsidR="007C6282">
        <w:rPr>
          <w:b/>
        </w:rPr>
        <w:t xml:space="preserve">4. </w:t>
      </w:r>
      <w:r w:rsidR="00535DFF" w:rsidRPr="00535DFF">
        <w:rPr>
          <w:b/>
        </w:rPr>
        <w:t>Actions incitatives – quelles priorités et pour quoi faire ? »</w:t>
      </w:r>
    </w:p>
    <w:p w:rsidR="006200E5" w:rsidRPr="00535DFF" w:rsidRDefault="006200E5" w:rsidP="006200E5">
      <w:pPr>
        <w:pStyle w:val="Paragraphedeliste"/>
        <w:jc w:val="both"/>
        <w:rPr>
          <w:i/>
        </w:rPr>
      </w:pPr>
      <w:r w:rsidRPr="00535DFF">
        <w:rPr>
          <w:i/>
        </w:rPr>
        <w:t>Date/</w:t>
      </w:r>
      <w:r w:rsidRPr="001D2109">
        <w:rPr>
          <w:i/>
          <w:color w:val="auto"/>
        </w:rPr>
        <w:t xml:space="preserve">lieu : </w:t>
      </w:r>
      <w:r w:rsidR="007C6282" w:rsidRPr="001D2109">
        <w:rPr>
          <w:i/>
          <w:color w:val="auto"/>
        </w:rPr>
        <w:t>8 et 9 février – ENSA VT</w:t>
      </w:r>
    </w:p>
    <w:p w:rsidR="007C6282" w:rsidRPr="00535DFF" w:rsidRDefault="007C6282" w:rsidP="007C6282">
      <w:pPr>
        <w:pStyle w:val="Paragraphedeliste"/>
        <w:numPr>
          <w:ilvl w:val="0"/>
          <w:numId w:val="8"/>
        </w:numPr>
        <w:jc w:val="both"/>
        <w:rPr>
          <w:b/>
        </w:rPr>
      </w:pPr>
      <w:r w:rsidRPr="00535DFF">
        <w:rPr>
          <w:b/>
        </w:rPr>
        <w:t>« </w:t>
      </w:r>
      <w:r>
        <w:rPr>
          <w:b/>
        </w:rPr>
        <w:t xml:space="preserve">5. Point d’étape des travaux des GT </w:t>
      </w:r>
      <w:r w:rsidRPr="00535DFF">
        <w:rPr>
          <w:b/>
        </w:rPr>
        <w:t>»</w:t>
      </w:r>
    </w:p>
    <w:p w:rsidR="007C6282" w:rsidRDefault="007C6282" w:rsidP="007C6282">
      <w:pPr>
        <w:pStyle w:val="Paragraphedeliste"/>
        <w:jc w:val="both"/>
        <w:rPr>
          <w:i/>
        </w:rPr>
      </w:pPr>
      <w:r>
        <w:rPr>
          <w:i/>
        </w:rPr>
        <w:t>Date/lieu : 19 et 20 mars</w:t>
      </w:r>
      <w:r w:rsidRPr="00535DFF">
        <w:rPr>
          <w:i/>
        </w:rPr>
        <w:t xml:space="preserve"> 20</w:t>
      </w:r>
      <w:r>
        <w:rPr>
          <w:i/>
        </w:rPr>
        <w:t xml:space="preserve">18 – </w:t>
      </w:r>
      <w:proofErr w:type="spellStart"/>
      <w:r>
        <w:rPr>
          <w:i/>
        </w:rPr>
        <w:t>Ifsttar</w:t>
      </w:r>
      <w:proofErr w:type="spellEnd"/>
      <w:r>
        <w:rPr>
          <w:i/>
        </w:rPr>
        <w:t xml:space="preserve"> Salon-Marseille</w:t>
      </w:r>
    </w:p>
    <w:p w:rsidR="006200E5" w:rsidRPr="007C6282" w:rsidRDefault="007C6282" w:rsidP="007C6282">
      <w:pPr>
        <w:pStyle w:val="Paragraphedeliste"/>
        <w:numPr>
          <w:ilvl w:val="0"/>
          <w:numId w:val="8"/>
        </w:numPr>
        <w:jc w:val="both"/>
        <w:rPr>
          <w:b/>
        </w:rPr>
      </w:pPr>
      <w:r w:rsidRPr="00535DFF">
        <w:rPr>
          <w:b/>
        </w:rPr>
        <w:t xml:space="preserve"> </w:t>
      </w:r>
      <w:r w:rsidR="006200E5" w:rsidRPr="007C6282">
        <w:rPr>
          <w:b/>
        </w:rPr>
        <w:t>« </w:t>
      </w:r>
      <w:r>
        <w:rPr>
          <w:b/>
        </w:rPr>
        <w:t xml:space="preserve">6. </w:t>
      </w:r>
      <w:r w:rsidR="004C596F" w:rsidRPr="007C6282">
        <w:rPr>
          <w:b/>
        </w:rPr>
        <w:t>Restitution des</w:t>
      </w:r>
      <w:r w:rsidR="00C92AE6" w:rsidRPr="007C6282">
        <w:rPr>
          <w:b/>
        </w:rPr>
        <w:t xml:space="preserve"> Groupes de T</w:t>
      </w:r>
      <w:r w:rsidR="0082629C" w:rsidRPr="007C6282">
        <w:rPr>
          <w:b/>
        </w:rPr>
        <w:t xml:space="preserve">ravail et conclusions du Fil Rouge </w:t>
      </w:r>
      <w:r w:rsidR="006200E5" w:rsidRPr="007C6282">
        <w:rPr>
          <w:b/>
        </w:rPr>
        <w:t>»</w:t>
      </w:r>
    </w:p>
    <w:p w:rsidR="006200E5" w:rsidRDefault="006200E5" w:rsidP="00535DFF">
      <w:pPr>
        <w:pStyle w:val="Paragraphedeliste"/>
        <w:jc w:val="both"/>
        <w:rPr>
          <w:i/>
        </w:rPr>
      </w:pPr>
      <w:r w:rsidRPr="00535DFF">
        <w:rPr>
          <w:i/>
        </w:rPr>
        <w:t>Date/lieu : 5 et 6 avril 20</w:t>
      </w:r>
      <w:r w:rsidR="000C4877">
        <w:rPr>
          <w:i/>
        </w:rPr>
        <w:t>18</w:t>
      </w:r>
      <w:r w:rsidRPr="00535DFF">
        <w:rPr>
          <w:i/>
        </w:rPr>
        <w:t xml:space="preserve"> – ESIEE</w:t>
      </w:r>
    </w:p>
    <w:p w:rsidR="007C6282" w:rsidRPr="00535DFF" w:rsidRDefault="007C6282" w:rsidP="00645C19">
      <w:pPr>
        <w:pStyle w:val="Paragraphedeliste"/>
        <w:jc w:val="both"/>
        <w:rPr>
          <w:i/>
        </w:rPr>
      </w:pPr>
    </w:p>
    <w:p w:rsidR="00645C19" w:rsidRPr="00645C19" w:rsidRDefault="00645C19" w:rsidP="00645C19">
      <w:pPr>
        <w:spacing w:after="0" w:line="240" w:lineRule="auto"/>
        <w:jc w:val="both"/>
      </w:pPr>
      <w:r>
        <w:t xml:space="preserve">Chaque atelier (d'une durée de 5h30) pourrait comporter </w:t>
      </w:r>
      <w:proofErr w:type="gramStart"/>
      <w:r>
        <w:t>a</w:t>
      </w:r>
      <w:proofErr w:type="gramEnd"/>
      <w:r>
        <w:t xml:space="preserve"> minima : une présentation croisée des participants, suffisamment détaillée pour appréhender chaque contexte, une discussion sur la compréhension ou la réécriture de la problématique annoncée, une discussion sur les apports que l'U-Cible pourrait avoir.</w:t>
      </w:r>
    </w:p>
    <w:p w:rsidR="00C92AE6" w:rsidRPr="0057351C" w:rsidRDefault="00C92AE6" w:rsidP="000C4877">
      <w:pPr>
        <w:pStyle w:val="NormalWeb"/>
        <w:jc w:val="center"/>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lastRenderedPageBreak/>
        <w:t xml:space="preserve">Séminaire des </w:t>
      </w:r>
      <w:r w:rsidR="000C4877" w:rsidRPr="000C4877">
        <w:rPr>
          <w:rFonts w:asciiTheme="majorHAnsi" w:eastAsiaTheme="majorEastAsia" w:hAnsiTheme="majorHAnsi" w:cstheme="majorBidi"/>
          <w:b/>
          <w:bCs/>
          <w:color w:val="000000" w:themeColor="text1"/>
          <w:lang w:eastAsia="en-US"/>
        </w:rPr>
        <w:t>6 et 7 décembre 2017</w:t>
      </w:r>
      <w:r w:rsidRPr="0057351C">
        <w:rPr>
          <w:rFonts w:asciiTheme="majorHAnsi" w:eastAsiaTheme="majorEastAsia" w:hAnsiTheme="majorHAnsi" w:cstheme="majorBidi"/>
          <w:b/>
          <w:bCs/>
          <w:color w:val="000000" w:themeColor="text1"/>
          <w:lang w:eastAsia="en-US"/>
        </w:rPr>
        <w:t>, </w:t>
      </w:r>
      <w:proofErr w:type="spellStart"/>
      <w:r w:rsidRPr="0057351C">
        <w:rPr>
          <w:rFonts w:asciiTheme="majorHAnsi" w:eastAsiaTheme="majorEastAsia" w:hAnsiTheme="majorHAnsi" w:cstheme="majorBidi"/>
          <w:b/>
          <w:bCs/>
          <w:color w:val="000000" w:themeColor="text1"/>
          <w:lang w:eastAsia="en-US"/>
        </w:rPr>
        <w:t>Ifsttar</w:t>
      </w:r>
      <w:proofErr w:type="spellEnd"/>
      <w:r w:rsidRPr="0057351C">
        <w:rPr>
          <w:rFonts w:asciiTheme="majorHAnsi" w:eastAsiaTheme="majorEastAsia" w:hAnsiTheme="majorHAnsi" w:cstheme="majorBidi"/>
          <w:b/>
          <w:bCs/>
          <w:color w:val="000000" w:themeColor="text1"/>
          <w:lang w:eastAsia="en-US"/>
        </w:rPr>
        <w:t xml:space="preserve"> </w:t>
      </w:r>
      <w:r>
        <w:rPr>
          <w:rFonts w:asciiTheme="majorHAnsi" w:eastAsiaTheme="majorEastAsia" w:hAnsiTheme="majorHAnsi" w:cstheme="majorBidi"/>
          <w:b/>
          <w:bCs/>
          <w:color w:val="000000" w:themeColor="text1"/>
          <w:lang w:eastAsia="en-US"/>
        </w:rPr>
        <w:t>Marne-la-Vallée</w:t>
      </w:r>
    </w:p>
    <w:p w:rsidR="00C92AE6" w:rsidRDefault="00C92AE6" w:rsidP="00C92AE6">
      <w:pPr>
        <w:pStyle w:val="Titre1"/>
        <w:pBdr>
          <w:bottom w:val="single" w:sz="4" w:space="1" w:color="00000A"/>
        </w:pBdr>
        <w:shd w:val="clear" w:color="auto" w:fill="F2F2F2" w:themeFill="background1" w:themeFillShade="F2"/>
        <w:spacing w:before="120" w:after="120"/>
        <w:jc w:val="center"/>
      </w:pPr>
      <w:r>
        <w:t>FIL ROUGE</w:t>
      </w:r>
    </w:p>
    <w:p w:rsidR="007C6282" w:rsidRDefault="007C6282" w:rsidP="00C92AE6">
      <w:pPr>
        <w:pStyle w:val="Titre1"/>
        <w:pBdr>
          <w:bottom w:val="single" w:sz="4" w:space="1" w:color="00000A"/>
        </w:pBdr>
        <w:shd w:val="clear" w:color="auto" w:fill="F2F2F2" w:themeFill="background1" w:themeFillShade="F2"/>
        <w:spacing w:before="120" w:after="120"/>
        <w:jc w:val="center"/>
      </w:pPr>
      <w:r>
        <w:t>Organisation / animation</w:t>
      </w:r>
      <w:r w:rsidRPr="00C92AE6">
        <w:t xml:space="preserve"> de la recher</w:t>
      </w:r>
      <w:r>
        <w:t xml:space="preserve">che </w:t>
      </w:r>
    </w:p>
    <w:p w:rsidR="00C92AE6" w:rsidRDefault="00C92AE6" w:rsidP="00C92AE6">
      <w:pPr>
        <w:pStyle w:val="Titre1"/>
        <w:pBdr>
          <w:bottom w:val="single" w:sz="4" w:space="1" w:color="00000A"/>
        </w:pBdr>
        <w:shd w:val="clear" w:color="auto" w:fill="F2F2F2" w:themeFill="background1" w:themeFillShade="F2"/>
        <w:spacing w:before="120" w:after="120"/>
        <w:jc w:val="center"/>
      </w:pPr>
      <w:r>
        <w:t>ATELIER n°1</w:t>
      </w:r>
    </w:p>
    <w:p w:rsidR="00C92AE6" w:rsidRDefault="007C6282" w:rsidP="007C6282">
      <w:pPr>
        <w:pStyle w:val="Titre1"/>
        <w:pBdr>
          <w:bottom w:val="single" w:sz="4" w:space="1" w:color="00000A"/>
        </w:pBdr>
        <w:shd w:val="clear" w:color="auto" w:fill="F2F2F2" w:themeFill="background1" w:themeFillShade="F2"/>
        <w:spacing w:before="120" w:after="120"/>
        <w:jc w:val="center"/>
      </w:pPr>
      <w:r>
        <w:t>1. E</w:t>
      </w:r>
      <w:r w:rsidR="00C92AE6" w:rsidRPr="00C92AE6">
        <w:t xml:space="preserve">tat des lieux – </w:t>
      </w:r>
      <w:r>
        <w:t>S</w:t>
      </w:r>
      <w:r w:rsidR="00C92AE6" w:rsidRPr="00C92AE6">
        <w:t>ujets pou</w:t>
      </w:r>
      <w:r>
        <w:t>r lancer des Groupes de Trav</w:t>
      </w:r>
      <w:r w:rsidR="00C92AE6">
        <w:t>ail</w:t>
      </w:r>
    </w:p>
    <w:p w:rsidR="008F3431" w:rsidRPr="008E2203" w:rsidRDefault="008F3431" w:rsidP="00D36BC7">
      <w:pPr>
        <w:jc w:val="both"/>
        <w:rPr>
          <w:rFonts w:eastAsiaTheme="majorEastAsia" w:cstheme="majorBidi"/>
          <w:bCs/>
          <w:color w:val="000000" w:themeColor="text1"/>
        </w:rPr>
      </w:pPr>
      <w:r>
        <w:rPr>
          <w:rFonts w:eastAsiaTheme="majorEastAsia" w:cstheme="majorBidi"/>
          <w:bCs/>
          <w:color w:val="000000" w:themeColor="text1"/>
        </w:rPr>
        <w:t>Porteurs</w:t>
      </w:r>
      <w:r w:rsidR="007C6282" w:rsidRPr="008E2203">
        <w:rPr>
          <w:rFonts w:eastAsiaTheme="majorEastAsia" w:cstheme="majorBidi"/>
          <w:bCs/>
          <w:color w:val="000000" w:themeColor="text1"/>
        </w:rPr>
        <w:t xml:space="preserve"> : S. </w:t>
      </w:r>
      <w:proofErr w:type="spellStart"/>
      <w:r w:rsidR="007C6282" w:rsidRPr="008E2203">
        <w:rPr>
          <w:rFonts w:eastAsiaTheme="majorEastAsia" w:cstheme="majorBidi"/>
          <w:bCs/>
          <w:color w:val="000000" w:themeColor="text1"/>
        </w:rPr>
        <w:t>Piperno</w:t>
      </w:r>
      <w:proofErr w:type="spellEnd"/>
      <w:r w:rsidR="007C6282" w:rsidRPr="008E2203">
        <w:rPr>
          <w:rFonts w:eastAsiaTheme="majorEastAsia" w:cstheme="majorBidi"/>
          <w:bCs/>
          <w:color w:val="000000" w:themeColor="text1"/>
        </w:rPr>
        <w:t xml:space="preserve">, C. </w:t>
      </w:r>
      <w:proofErr w:type="spellStart"/>
      <w:r w:rsidR="007C6282" w:rsidRPr="008E2203">
        <w:rPr>
          <w:rFonts w:eastAsiaTheme="majorEastAsia" w:cstheme="majorBidi"/>
          <w:bCs/>
          <w:color w:val="000000" w:themeColor="text1"/>
        </w:rPr>
        <w:t>Delolme</w:t>
      </w:r>
      <w:proofErr w:type="spellEnd"/>
      <w:r>
        <w:rPr>
          <w:rFonts w:eastAsiaTheme="majorEastAsia" w:cstheme="majorBidi"/>
          <w:bCs/>
          <w:color w:val="000000" w:themeColor="text1"/>
        </w:rPr>
        <w:tab/>
      </w:r>
      <w:r>
        <w:rPr>
          <w:rFonts w:eastAsiaTheme="majorEastAsia" w:cstheme="majorBidi"/>
          <w:bCs/>
          <w:color w:val="000000" w:themeColor="text1"/>
        </w:rPr>
        <w:br/>
      </w:r>
      <w:r w:rsidRPr="008E2203">
        <w:rPr>
          <w:rFonts w:eastAsiaTheme="majorEastAsia" w:cstheme="majorBidi"/>
          <w:bCs/>
          <w:color w:val="000000" w:themeColor="text1"/>
        </w:rPr>
        <w:t>Anim</w:t>
      </w:r>
      <w:r>
        <w:rPr>
          <w:rFonts w:eastAsiaTheme="majorEastAsia" w:cstheme="majorBidi"/>
          <w:bCs/>
          <w:color w:val="000000" w:themeColor="text1"/>
        </w:rPr>
        <w:t xml:space="preserve">ateur(s) : S. </w:t>
      </w:r>
      <w:proofErr w:type="spellStart"/>
      <w:r>
        <w:rPr>
          <w:rFonts w:eastAsiaTheme="majorEastAsia" w:cstheme="majorBidi"/>
          <w:bCs/>
          <w:color w:val="000000" w:themeColor="text1"/>
        </w:rPr>
        <w:t>Piperno</w:t>
      </w:r>
      <w:proofErr w:type="spellEnd"/>
      <w:r>
        <w:rPr>
          <w:rFonts w:eastAsiaTheme="majorEastAsia" w:cstheme="majorBidi"/>
          <w:bCs/>
          <w:color w:val="000000" w:themeColor="text1"/>
        </w:rPr>
        <w:t>, ?</w:t>
      </w:r>
    </w:p>
    <w:p w:rsidR="007C6282" w:rsidRPr="008E2203" w:rsidRDefault="004B58C6" w:rsidP="00D36BC7">
      <w:pPr>
        <w:jc w:val="both"/>
        <w:rPr>
          <w:rFonts w:eastAsiaTheme="majorEastAsia" w:cstheme="majorBidi"/>
          <w:bCs/>
          <w:color w:val="000000" w:themeColor="text1"/>
        </w:rPr>
      </w:pPr>
      <w:r w:rsidRPr="008E2203">
        <w:rPr>
          <w:rFonts w:eastAsiaTheme="majorEastAsia" w:cstheme="majorBidi"/>
          <w:bCs/>
          <w:color w:val="000000" w:themeColor="text1"/>
        </w:rPr>
        <w:t>Le premier atelier de ce « Fil rouge » ouvre une série de travaux. Certains seront menés en ateliers sur des sujets qui ont une forte dimension « Connaissance réciproque ». Ces travaux ont pour objectif premier de se présenter, de présenter les organisations et usages des différents établissements, pour mieux appréhender les enjeux locaux, les différences, mais aussi éliminer les fausses idées. D’autres travaux seront plutôt consacrés aux questions connexes, qu’il faudra traiter probablement avant la fin de l’année 2018 (et peut-être même avant), afin de progresser collectivement dans une organisation partagée, en espérant garder les meilleurs aspects des différents fonctionnements.</w:t>
      </w:r>
    </w:p>
    <w:p w:rsidR="008E2203" w:rsidRPr="008E2203" w:rsidRDefault="008E2203" w:rsidP="00D36BC7">
      <w:pPr>
        <w:jc w:val="both"/>
        <w:rPr>
          <w:rFonts w:eastAsiaTheme="majorEastAsia" w:cstheme="majorBidi"/>
          <w:bCs/>
          <w:color w:val="000000" w:themeColor="text1"/>
        </w:rPr>
      </w:pPr>
      <w:r w:rsidRPr="008E2203">
        <w:rPr>
          <w:rFonts w:eastAsiaTheme="majorEastAsia" w:cstheme="majorBidi"/>
          <w:bCs/>
          <w:color w:val="000000" w:themeColor="text1"/>
        </w:rPr>
        <w:t>Ce premier atelier vise essentiellement à dresser un état des lieux sur une série de sujets en lien avec l’organisation et l’animation scientifique, et à identifier les sujets qu’il pourrait être urgent ou important à clarifier ou à creuser dans le cadre de groupes de travail, menés en parallèle du fil rouge.</w:t>
      </w:r>
    </w:p>
    <w:p w:rsidR="008E2203" w:rsidRPr="007C6282" w:rsidRDefault="008E2203" w:rsidP="00D36BC7">
      <w:pPr>
        <w:jc w:val="both"/>
        <w:rPr>
          <w:rFonts w:asciiTheme="majorHAnsi" w:eastAsiaTheme="majorEastAsia" w:hAnsiTheme="majorHAnsi" w:cstheme="majorBidi"/>
          <w:bCs/>
          <w:color w:val="000000" w:themeColor="text1"/>
          <w:sz w:val="24"/>
          <w:szCs w:val="24"/>
        </w:rPr>
      </w:pPr>
    </w:p>
    <w:p w:rsidR="00C92AE6" w:rsidRDefault="00C92AE6" w:rsidP="00C92AE6">
      <w:pPr>
        <w:pStyle w:val="Titre2"/>
        <w:pBdr>
          <w:bottom w:val="single" w:sz="4" w:space="1" w:color="00000A"/>
        </w:pBdr>
      </w:pPr>
      <w:r>
        <w:t xml:space="preserve">Pistes d’objectifs possibles à atteindre en </w:t>
      </w:r>
      <w:r w:rsidRPr="00F9061A">
        <w:t xml:space="preserve">commun </w:t>
      </w:r>
      <w:r>
        <w:t>lors de</w:t>
      </w:r>
      <w:r w:rsidRPr="00F9061A">
        <w:t xml:space="preserve"> l'atelier n°1</w:t>
      </w:r>
    </w:p>
    <w:p w:rsidR="004B58C6" w:rsidRPr="008E2203" w:rsidRDefault="004B58C6" w:rsidP="00C92AE6">
      <w:pPr>
        <w:jc w:val="both"/>
      </w:pPr>
    </w:p>
    <w:p w:rsidR="008E2203" w:rsidRPr="00273514" w:rsidRDefault="008E2203" w:rsidP="00C92AE6">
      <w:pPr>
        <w:jc w:val="both"/>
      </w:pPr>
      <w:r w:rsidRPr="008E2203">
        <w:t xml:space="preserve">Dresser un état des lieux, tel que vu par les personnes présentes, de l’organisation et de l’animation scientifiques au sein des établissements. Identifier des sujets à creuser en parallèle du « Fil Rouge ». </w:t>
      </w:r>
      <w:r w:rsidRPr="00273514">
        <w:t xml:space="preserve">On pourra par exemple aborder les aspects suivants (liste non limitative) : </w:t>
      </w:r>
    </w:p>
    <w:p w:rsidR="005D3FE1" w:rsidRDefault="005D3FE1" w:rsidP="00C92AE6">
      <w:pPr>
        <w:pStyle w:val="Paragraphedeliste"/>
        <w:numPr>
          <w:ilvl w:val="0"/>
          <w:numId w:val="1"/>
        </w:numPr>
        <w:jc w:val="both"/>
      </w:pPr>
      <w:r>
        <w:t>Stratégie</w:t>
      </w:r>
    </w:p>
    <w:p w:rsidR="005D3FE1" w:rsidRDefault="005D3FE1" w:rsidP="005D3FE1">
      <w:pPr>
        <w:pStyle w:val="Paragraphedeliste"/>
        <w:numPr>
          <w:ilvl w:val="1"/>
          <w:numId w:val="1"/>
        </w:numPr>
        <w:jc w:val="both"/>
      </w:pPr>
      <w:r>
        <w:t>Lien avec la tutelle</w:t>
      </w:r>
    </w:p>
    <w:p w:rsidR="00C92AE6" w:rsidRPr="00273514" w:rsidRDefault="00AA52A9" w:rsidP="005D3FE1">
      <w:pPr>
        <w:pStyle w:val="Paragraphedeliste"/>
        <w:numPr>
          <w:ilvl w:val="1"/>
          <w:numId w:val="1"/>
        </w:numPr>
        <w:jc w:val="both"/>
      </w:pPr>
      <w:r w:rsidRPr="00273514">
        <w:t>Stratégie scientifique</w:t>
      </w:r>
    </w:p>
    <w:p w:rsidR="00C92AE6" w:rsidRDefault="005D3FE1" w:rsidP="005D3FE1">
      <w:pPr>
        <w:pStyle w:val="Paragraphedeliste"/>
        <w:numPr>
          <w:ilvl w:val="1"/>
          <w:numId w:val="1"/>
        </w:numPr>
        <w:jc w:val="both"/>
      </w:pPr>
      <w:r>
        <w:t xml:space="preserve">Orientation scientifique par </w:t>
      </w:r>
      <w:r w:rsidR="00AA52A9" w:rsidRPr="00273514">
        <w:t>un contrat quinquennal ou d’un COP (contrat d’objectifs)</w:t>
      </w:r>
    </w:p>
    <w:p w:rsidR="00A71FAF" w:rsidRPr="00273514" w:rsidRDefault="00A71FAF" w:rsidP="005D3FE1">
      <w:pPr>
        <w:pStyle w:val="Paragraphedeliste"/>
        <w:numPr>
          <w:ilvl w:val="1"/>
          <w:numId w:val="1"/>
        </w:numPr>
        <w:jc w:val="both"/>
      </w:pPr>
      <w:r>
        <w:t>Animation scientifique transversale</w:t>
      </w:r>
    </w:p>
    <w:p w:rsidR="005D3FE1" w:rsidRDefault="005D3FE1" w:rsidP="00C92AE6">
      <w:pPr>
        <w:pStyle w:val="Paragraphedeliste"/>
        <w:numPr>
          <w:ilvl w:val="0"/>
          <w:numId w:val="1"/>
        </w:numPr>
        <w:jc w:val="both"/>
      </w:pPr>
      <w:r>
        <w:t>Structuration de la recherche</w:t>
      </w:r>
    </w:p>
    <w:p w:rsidR="00273514" w:rsidRPr="00273514" w:rsidRDefault="00273514" w:rsidP="005D3FE1">
      <w:pPr>
        <w:pStyle w:val="Paragraphedeliste"/>
        <w:numPr>
          <w:ilvl w:val="1"/>
          <w:numId w:val="1"/>
        </w:numPr>
        <w:jc w:val="both"/>
      </w:pPr>
      <w:r w:rsidRPr="00273514">
        <w:t>Structur</w:t>
      </w:r>
      <w:r w:rsidR="005D3FE1">
        <w:t>es d</w:t>
      </w:r>
      <w:r w:rsidRPr="00273514">
        <w:t>e recherche (UMR, unités propres, taille, moyens, etc.)</w:t>
      </w:r>
    </w:p>
    <w:p w:rsidR="00C92AE6" w:rsidRPr="00273514" w:rsidRDefault="00273514" w:rsidP="005D3FE1">
      <w:pPr>
        <w:pStyle w:val="Paragraphedeliste"/>
        <w:numPr>
          <w:ilvl w:val="1"/>
          <w:numId w:val="1"/>
        </w:numPr>
        <w:jc w:val="both"/>
      </w:pPr>
      <w:r w:rsidRPr="00273514">
        <w:t>HCERES et unités de recherche</w:t>
      </w:r>
    </w:p>
    <w:p w:rsidR="00273514" w:rsidRPr="00273514" w:rsidRDefault="00273514" w:rsidP="005D3FE1">
      <w:pPr>
        <w:pStyle w:val="Paragraphedeliste"/>
        <w:numPr>
          <w:ilvl w:val="1"/>
          <w:numId w:val="1"/>
        </w:numPr>
        <w:jc w:val="both"/>
      </w:pPr>
      <w:r w:rsidRPr="00273514">
        <w:t>Articulation avec les « </w:t>
      </w:r>
      <w:proofErr w:type="spellStart"/>
      <w:r w:rsidRPr="00273514">
        <w:t>super-structures</w:t>
      </w:r>
      <w:proofErr w:type="spellEnd"/>
      <w:r w:rsidRPr="00273514">
        <w:t xml:space="preserve"> » de recherche (fédérations de recherche, </w:t>
      </w:r>
      <w:proofErr w:type="spellStart"/>
      <w:r w:rsidRPr="00273514">
        <w:t>labex</w:t>
      </w:r>
      <w:proofErr w:type="spellEnd"/>
      <w:r w:rsidRPr="00273514">
        <w:t>, OSU, etc.)</w:t>
      </w:r>
    </w:p>
    <w:p w:rsidR="005D3FE1" w:rsidRDefault="00273514" w:rsidP="00273514">
      <w:pPr>
        <w:pStyle w:val="Paragraphedeliste"/>
        <w:numPr>
          <w:ilvl w:val="0"/>
          <w:numId w:val="1"/>
        </w:numPr>
        <w:jc w:val="both"/>
      </w:pPr>
      <w:r w:rsidRPr="00273514">
        <w:t xml:space="preserve">Personnels : </w:t>
      </w:r>
    </w:p>
    <w:p w:rsidR="005D3FE1" w:rsidRDefault="00273514" w:rsidP="005D3FE1">
      <w:pPr>
        <w:pStyle w:val="Paragraphedeliste"/>
        <w:numPr>
          <w:ilvl w:val="1"/>
          <w:numId w:val="1"/>
        </w:numPr>
        <w:jc w:val="both"/>
      </w:pPr>
      <w:proofErr w:type="gramStart"/>
      <w:r w:rsidRPr="00273514">
        <w:t>statuts</w:t>
      </w:r>
      <w:proofErr w:type="gramEnd"/>
      <w:r w:rsidRPr="00273514">
        <w:t xml:space="preserve"> et corps (évaluation, promotion, mobilités), activités, articulation recherche/formation, doctorants (attention : atelier politique doctorale), post-doctorants, stagiaires, etc.</w:t>
      </w:r>
    </w:p>
    <w:p w:rsidR="005D3FE1" w:rsidRPr="00273514" w:rsidRDefault="005D3FE1" w:rsidP="005D3FE1">
      <w:pPr>
        <w:pStyle w:val="Paragraphedeliste"/>
        <w:numPr>
          <w:ilvl w:val="1"/>
          <w:numId w:val="1"/>
        </w:numPr>
        <w:jc w:val="both"/>
      </w:pPr>
      <w:r w:rsidRPr="00273514">
        <w:lastRenderedPageBreak/>
        <w:t>Accompagnements de l’excellence (IUF, ERC, moyens dédiés, décharges d’enseignement, délégations, chaires organismes)</w:t>
      </w:r>
    </w:p>
    <w:p w:rsidR="005D3FE1" w:rsidRPr="00273514" w:rsidRDefault="005D3FE1" w:rsidP="005D3FE1">
      <w:pPr>
        <w:pStyle w:val="Paragraphedeliste"/>
        <w:numPr>
          <w:ilvl w:val="0"/>
          <w:numId w:val="1"/>
        </w:numPr>
        <w:jc w:val="both"/>
      </w:pPr>
      <w:r>
        <w:t>Valorisation</w:t>
      </w:r>
    </w:p>
    <w:p w:rsidR="00273514" w:rsidRDefault="00273514" w:rsidP="005D3FE1">
      <w:pPr>
        <w:pStyle w:val="Paragraphedeliste"/>
        <w:numPr>
          <w:ilvl w:val="1"/>
          <w:numId w:val="1"/>
        </w:numPr>
        <w:jc w:val="both"/>
      </w:pPr>
      <w:r w:rsidRPr="00273514">
        <w:t>Contrats de recherche (sujets, types de contrats, retou</w:t>
      </w:r>
      <w:r w:rsidR="00A71FAF">
        <w:t>rs aux laboratoires,</w:t>
      </w:r>
      <w:r w:rsidRPr="00273514">
        <w:t xml:space="preserve"> relations partenariales</w:t>
      </w:r>
      <w:r w:rsidR="00A71FAF">
        <w:t>, chaires</w:t>
      </w:r>
      <w:r w:rsidRPr="00273514">
        <w:t>)</w:t>
      </w:r>
    </w:p>
    <w:p w:rsidR="005D3FE1" w:rsidRPr="00273514" w:rsidRDefault="00A71FAF" w:rsidP="005D3FE1">
      <w:pPr>
        <w:pStyle w:val="Paragraphedeliste"/>
        <w:numPr>
          <w:ilvl w:val="1"/>
          <w:numId w:val="1"/>
        </w:numPr>
        <w:jc w:val="both"/>
      </w:pPr>
      <w:r>
        <w:t>Brevets, intéressement</w:t>
      </w:r>
      <w:r w:rsidR="005D3FE1">
        <w:t>, logiciels, expertise</w:t>
      </w:r>
      <w:r>
        <w:t>s</w:t>
      </w:r>
    </w:p>
    <w:p w:rsidR="00A71FAF" w:rsidRDefault="00A71FAF" w:rsidP="00D36BC7">
      <w:pPr>
        <w:pStyle w:val="Paragraphedeliste"/>
        <w:numPr>
          <w:ilvl w:val="0"/>
          <w:numId w:val="1"/>
        </w:numPr>
        <w:jc w:val="both"/>
      </w:pPr>
      <w:r>
        <w:t>Moyens expérimentaux et financiers</w:t>
      </w:r>
    </w:p>
    <w:p w:rsidR="00C01D82" w:rsidRPr="00273514" w:rsidRDefault="00273514" w:rsidP="00A71FAF">
      <w:pPr>
        <w:pStyle w:val="Paragraphedeliste"/>
        <w:numPr>
          <w:ilvl w:val="1"/>
          <w:numId w:val="1"/>
        </w:numPr>
        <w:jc w:val="both"/>
      </w:pPr>
      <w:r w:rsidRPr="00273514">
        <w:t>Investissements scientifiques, équipements scientifiques</w:t>
      </w:r>
    </w:p>
    <w:p w:rsidR="00273514" w:rsidRPr="00273514" w:rsidRDefault="00273514" w:rsidP="00A71FAF">
      <w:pPr>
        <w:pStyle w:val="Paragraphedeliste"/>
        <w:numPr>
          <w:ilvl w:val="1"/>
          <w:numId w:val="1"/>
        </w:numPr>
        <w:jc w:val="both"/>
      </w:pPr>
      <w:r w:rsidRPr="00273514">
        <w:t>Dotation financière de base</w:t>
      </w:r>
    </w:p>
    <w:p w:rsidR="00273514" w:rsidRPr="00273514" w:rsidRDefault="00273514" w:rsidP="00A71FAF">
      <w:pPr>
        <w:pStyle w:val="Paragraphedeliste"/>
        <w:numPr>
          <w:ilvl w:val="1"/>
          <w:numId w:val="1"/>
        </w:numPr>
        <w:jc w:val="both"/>
      </w:pPr>
      <w:r w:rsidRPr="00273514">
        <w:t xml:space="preserve">Moyens incitatifs (mobilités entrantes, mobilités sortantes, BQR, </w:t>
      </w:r>
      <w:proofErr w:type="spellStart"/>
      <w:r w:rsidRPr="00273514">
        <w:t>SuperBQR</w:t>
      </w:r>
      <w:proofErr w:type="spellEnd"/>
      <w:r w:rsidRPr="00273514">
        <w:t>, Initiatives ciblées, GDR, animations de réseau, soutien à manifestation scientifique)</w:t>
      </w:r>
    </w:p>
    <w:p w:rsidR="00273514" w:rsidRDefault="00273514" w:rsidP="00A71FAF">
      <w:pPr>
        <w:pStyle w:val="Paragraphedeliste"/>
        <w:numPr>
          <w:ilvl w:val="1"/>
          <w:numId w:val="1"/>
        </w:numPr>
        <w:jc w:val="both"/>
      </w:pPr>
      <w:r w:rsidRPr="00273514">
        <w:t>Laboratoires internationaux, relations internationales</w:t>
      </w:r>
    </w:p>
    <w:p w:rsidR="00273514" w:rsidRDefault="00273514" w:rsidP="00273514">
      <w:pPr>
        <w:jc w:val="both"/>
      </w:pPr>
    </w:p>
    <w:p w:rsidR="00273514" w:rsidRDefault="00273514" w:rsidP="00273514">
      <w:pPr>
        <w:jc w:val="both"/>
      </w:pPr>
      <w:r>
        <w:t>Organisation pratique : on pourra segmenter l’atelier en parcourant les divers points, après une présentation rapide des établissements « représentés ».</w:t>
      </w:r>
      <w:r w:rsidR="005D3FE1">
        <w:t xml:space="preserve"> L’organisation pratique pourra dépendre du nombre de participants. Par exemple : </w:t>
      </w:r>
    </w:p>
    <w:p w:rsidR="005D3FE1" w:rsidRDefault="005D3FE1" w:rsidP="005D3FE1">
      <w:pPr>
        <w:pStyle w:val="Paragraphedeliste"/>
        <w:numPr>
          <w:ilvl w:val="0"/>
          <w:numId w:val="16"/>
        </w:numPr>
        <w:spacing w:after="0"/>
        <w:jc w:val="both"/>
      </w:pPr>
      <w:r w:rsidRPr="005D3FE1">
        <w:rPr>
          <w:u w:val="single"/>
        </w:rPr>
        <w:t xml:space="preserve">6/12 </w:t>
      </w:r>
      <w:r w:rsidR="00C9432D">
        <w:rPr>
          <w:u w:val="single"/>
        </w:rPr>
        <w:t>–</w:t>
      </w:r>
      <w:r w:rsidRPr="005D3FE1">
        <w:rPr>
          <w:u w:val="single"/>
        </w:rPr>
        <w:t xml:space="preserve"> </w:t>
      </w:r>
      <w:r w:rsidR="00C9432D">
        <w:rPr>
          <w:u w:val="single"/>
        </w:rPr>
        <w:t>séance 1 (</w:t>
      </w:r>
      <w:r w:rsidRPr="005D3FE1">
        <w:rPr>
          <w:u w:val="single"/>
        </w:rPr>
        <w:t>15h30/17h30</w:t>
      </w:r>
      <w:r w:rsidR="00C9432D">
        <w:rPr>
          <w:u w:val="single"/>
        </w:rPr>
        <w:t>)</w:t>
      </w:r>
      <w:r w:rsidRPr="005D3FE1">
        <w:t xml:space="preserve"> :</w:t>
      </w:r>
      <w:r>
        <w:t xml:space="preserve"> présentation croisée des participants (angle à trouver pour alléger la dynamique : points forts et points faibles de son propre établissement et des autres !)</w:t>
      </w:r>
      <w:r w:rsidR="00CD5079">
        <w:t> ;</w:t>
      </w:r>
    </w:p>
    <w:p w:rsidR="005D3FE1" w:rsidRPr="00CD5079" w:rsidRDefault="005D3FE1" w:rsidP="00A71FAF">
      <w:pPr>
        <w:pStyle w:val="Paragraphedeliste"/>
        <w:numPr>
          <w:ilvl w:val="0"/>
          <w:numId w:val="16"/>
        </w:numPr>
        <w:spacing w:after="0"/>
        <w:jc w:val="both"/>
        <w:rPr>
          <w:u w:val="single"/>
        </w:rPr>
      </w:pPr>
      <w:r w:rsidRPr="00CD5079">
        <w:rPr>
          <w:u w:val="single"/>
        </w:rPr>
        <w:t xml:space="preserve">7/12 </w:t>
      </w:r>
      <w:r w:rsidR="00C9432D" w:rsidRPr="00CD5079">
        <w:rPr>
          <w:u w:val="single"/>
        </w:rPr>
        <w:t>–</w:t>
      </w:r>
      <w:r w:rsidRPr="00CD5079">
        <w:rPr>
          <w:u w:val="single"/>
        </w:rPr>
        <w:t xml:space="preserve"> </w:t>
      </w:r>
      <w:r w:rsidR="00C9432D" w:rsidRPr="00CD5079">
        <w:rPr>
          <w:u w:val="single"/>
        </w:rPr>
        <w:t>séance 2 (</w:t>
      </w:r>
      <w:r w:rsidRPr="00CD5079">
        <w:rPr>
          <w:u w:val="single"/>
        </w:rPr>
        <w:t>8h30/10h30</w:t>
      </w:r>
      <w:r w:rsidR="00C9432D" w:rsidRPr="00CD5079">
        <w:rPr>
          <w:u w:val="single"/>
        </w:rPr>
        <w:t>)</w:t>
      </w:r>
      <w:r w:rsidRPr="005D3FE1">
        <w:t xml:space="preserve"> :</w:t>
      </w:r>
      <w:r w:rsidR="00C9432D">
        <w:t xml:space="preserve"> présentation croisée des participants</w:t>
      </w:r>
      <w:r w:rsidR="00CD5079">
        <w:t> ;</w:t>
      </w:r>
    </w:p>
    <w:p w:rsidR="00C92AE6" w:rsidRPr="00B357EA" w:rsidRDefault="00C9432D" w:rsidP="00B357EA">
      <w:pPr>
        <w:pStyle w:val="Paragraphedeliste"/>
        <w:numPr>
          <w:ilvl w:val="0"/>
          <w:numId w:val="16"/>
        </w:numPr>
        <w:spacing w:after="0"/>
        <w:jc w:val="both"/>
      </w:pPr>
      <w:r w:rsidRPr="00CD5079">
        <w:rPr>
          <w:u w:val="single"/>
        </w:rPr>
        <w:t>7/12 – séance 3 (11h30/12h5</w:t>
      </w:r>
      <w:r w:rsidR="00A71FAF" w:rsidRPr="00CD5079">
        <w:rPr>
          <w:u w:val="single"/>
        </w:rPr>
        <w:t>0</w:t>
      </w:r>
      <w:r>
        <w:rPr>
          <w:u w:val="single"/>
        </w:rPr>
        <w:t>)</w:t>
      </w:r>
      <w:r w:rsidR="00A71FAF" w:rsidRPr="005D3FE1">
        <w:t xml:space="preserve"> :</w:t>
      </w:r>
      <w:r w:rsidR="00A71FAF">
        <w:t xml:space="preserve"> </w:t>
      </w:r>
      <w:r>
        <w:t>échanges priorisation des thématiques à traiter dans les prochains ateliers et hors ateliers (travail sur en Groupes de Travail).</w:t>
      </w:r>
      <w:bookmarkStart w:id="0" w:name="_GoBack"/>
      <w:bookmarkEnd w:id="0"/>
    </w:p>
    <w:sectPr w:rsidR="00C92AE6" w:rsidRPr="00B357EA"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AE" w:rsidRDefault="00943AAE" w:rsidP="00D16DA9">
      <w:pPr>
        <w:spacing w:after="0" w:line="240" w:lineRule="auto"/>
      </w:pPr>
      <w:r>
        <w:separator/>
      </w:r>
    </w:p>
  </w:endnote>
  <w:endnote w:type="continuationSeparator" w:id="0">
    <w:p w:rsidR="00943AAE" w:rsidRDefault="00943AAE"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AE" w:rsidRDefault="00943AAE" w:rsidP="00D16DA9">
      <w:pPr>
        <w:spacing w:after="0" w:line="240" w:lineRule="auto"/>
      </w:pPr>
      <w:r>
        <w:separator/>
      </w:r>
    </w:p>
  </w:footnote>
  <w:footnote w:type="continuationSeparator" w:id="0">
    <w:p w:rsidR="00943AAE" w:rsidRDefault="00943AAE"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E1B"/>
    <w:multiLevelType w:val="hybridMultilevel"/>
    <w:tmpl w:val="8AE61B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111EB0"/>
    <w:multiLevelType w:val="hybridMultilevel"/>
    <w:tmpl w:val="443AC74A"/>
    <w:lvl w:ilvl="0" w:tplc="BDFE38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941809"/>
    <w:multiLevelType w:val="hybridMultilevel"/>
    <w:tmpl w:val="76B2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795FAC"/>
    <w:multiLevelType w:val="hybridMultilevel"/>
    <w:tmpl w:val="32A07014"/>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5"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15"/>
  </w:num>
  <w:num w:numId="4">
    <w:abstractNumId w:val="9"/>
  </w:num>
  <w:num w:numId="5">
    <w:abstractNumId w:val="11"/>
  </w:num>
  <w:num w:numId="6">
    <w:abstractNumId w:val="10"/>
  </w:num>
  <w:num w:numId="7">
    <w:abstractNumId w:val="5"/>
  </w:num>
  <w:num w:numId="8">
    <w:abstractNumId w:val="0"/>
  </w:num>
  <w:num w:numId="9">
    <w:abstractNumId w:val="6"/>
  </w:num>
  <w:num w:numId="10">
    <w:abstractNumId w:val="14"/>
  </w:num>
  <w:num w:numId="11">
    <w:abstractNumId w:val="8"/>
  </w:num>
  <w:num w:numId="12">
    <w:abstractNumId w:val="13"/>
  </w:num>
  <w:num w:numId="13">
    <w:abstractNumId w:val="4"/>
  </w:num>
  <w:num w:numId="14">
    <w:abstractNumId w:val="12"/>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17344"/>
    <w:rsid w:val="000356C7"/>
    <w:rsid w:val="00047890"/>
    <w:rsid w:val="00054276"/>
    <w:rsid w:val="0005536D"/>
    <w:rsid w:val="00055C21"/>
    <w:rsid w:val="00061277"/>
    <w:rsid w:val="00072FDA"/>
    <w:rsid w:val="000A7D45"/>
    <w:rsid w:val="000C4877"/>
    <w:rsid w:val="000F3BBA"/>
    <w:rsid w:val="00145B90"/>
    <w:rsid w:val="00172391"/>
    <w:rsid w:val="001A13E9"/>
    <w:rsid w:val="001C68DF"/>
    <w:rsid w:val="001D2109"/>
    <w:rsid w:val="001D70FD"/>
    <w:rsid w:val="001F5BF9"/>
    <w:rsid w:val="00214FE7"/>
    <w:rsid w:val="0021633B"/>
    <w:rsid w:val="00224E31"/>
    <w:rsid w:val="00273514"/>
    <w:rsid w:val="003550FA"/>
    <w:rsid w:val="00395EBD"/>
    <w:rsid w:val="004050FD"/>
    <w:rsid w:val="00446F87"/>
    <w:rsid w:val="00453FFD"/>
    <w:rsid w:val="00483280"/>
    <w:rsid w:val="004B58C6"/>
    <w:rsid w:val="004B64AD"/>
    <w:rsid w:val="004C596F"/>
    <w:rsid w:val="004C6091"/>
    <w:rsid w:val="00503F9C"/>
    <w:rsid w:val="00530762"/>
    <w:rsid w:val="00535DFF"/>
    <w:rsid w:val="00557CE7"/>
    <w:rsid w:val="00563195"/>
    <w:rsid w:val="005668A7"/>
    <w:rsid w:val="0057351C"/>
    <w:rsid w:val="005772AA"/>
    <w:rsid w:val="005B2E26"/>
    <w:rsid w:val="005D3FE1"/>
    <w:rsid w:val="005D7225"/>
    <w:rsid w:val="005F7FDA"/>
    <w:rsid w:val="00606EFC"/>
    <w:rsid w:val="006200E5"/>
    <w:rsid w:val="00645C19"/>
    <w:rsid w:val="00677204"/>
    <w:rsid w:val="0068212E"/>
    <w:rsid w:val="00690D84"/>
    <w:rsid w:val="006C72A9"/>
    <w:rsid w:val="00711CC2"/>
    <w:rsid w:val="0071470B"/>
    <w:rsid w:val="007253CA"/>
    <w:rsid w:val="00740860"/>
    <w:rsid w:val="007C6282"/>
    <w:rsid w:val="007D6367"/>
    <w:rsid w:val="0082629C"/>
    <w:rsid w:val="008400D9"/>
    <w:rsid w:val="00856274"/>
    <w:rsid w:val="00873FC1"/>
    <w:rsid w:val="00891721"/>
    <w:rsid w:val="008B7814"/>
    <w:rsid w:val="008D48A6"/>
    <w:rsid w:val="008E2203"/>
    <w:rsid w:val="008F3431"/>
    <w:rsid w:val="00907F4E"/>
    <w:rsid w:val="00943AAE"/>
    <w:rsid w:val="0097160E"/>
    <w:rsid w:val="00986890"/>
    <w:rsid w:val="00A71FAF"/>
    <w:rsid w:val="00AA52A9"/>
    <w:rsid w:val="00AE617D"/>
    <w:rsid w:val="00AF305B"/>
    <w:rsid w:val="00AF4C91"/>
    <w:rsid w:val="00B3504B"/>
    <w:rsid w:val="00B357EA"/>
    <w:rsid w:val="00B66EEA"/>
    <w:rsid w:val="00B8645D"/>
    <w:rsid w:val="00BA36EC"/>
    <w:rsid w:val="00C01D82"/>
    <w:rsid w:val="00C14352"/>
    <w:rsid w:val="00C555DD"/>
    <w:rsid w:val="00C92AE6"/>
    <w:rsid w:val="00C9432D"/>
    <w:rsid w:val="00CC41A9"/>
    <w:rsid w:val="00CD5079"/>
    <w:rsid w:val="00D16DA9"/>
    <w:rsid w:val="00D36BC7"/>
    <w:rsid w:val="00D82084"/>
    <w:rsid w:val="00D82C8C"/>
    <w:rsid w:val="00E16744"/>
    <w:rsid w:val="00F033A0"/>
    <w:rsid w:val="00F41F3B"/>
    <w:rsid w:val="00F61659"/>
    <w:rsid w:val="00F9061A"/>
    <w:rsid w:val="00F96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BDC2F"/>
  <w15:docId w15:val="{6659402B-CBF8-460A-860D-55519899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391"/>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172391"/>
    <w:rPr>
      <w:rFonts w:cs="Courier New"/>
    </w:rPr>
  </w:style>
  <w:style w:type="character" w:customStyle="1" w:styleId="ListLabel2">
    <w:name w:val="ListLabel 2"/>
    <w:qFormat/>
    <w:rsid w:val="00172391"/>
    <w:rPr>
      <w:rFonts w:cs="Courier New"/>
    </w:rPr>
  </w:style>
  <w:style w:type="character" w:customStyle="1" w:styleId="ListLabel3">
    <w:name w:val="ListLabel 3"/>
    <w:qFormat/>
    <w:rsid w:val="00172391"/>
    <w:rPr>
      <w:rFonts w:cs="Courier New"/>
    </w:rPr>
  </w:style>
  <w:style w:type="character" w:customStyle="1" w:styleId="ListLabel4">
    <w:name w:val="ListLabel 4"/>
    <w:qFormat/>
    <w:rsid w:val="00172391"/>
    <w:rPr>
      <w:rFonts w:cs="Courier New"/>
    </w:rPr>
  </w:style>
  <w:style w:type="character" w:customStyle="1" w:styleId="ListLabel5">
    <w:name w:val="ListLabel 5"/>
    <w:qFormat/>
    <w:rsid w:val="00172391"/>
    <w:rPr>
      <w:rFonts w:cs="Courier New"/>
    </w:rPr>
  </w:style>
  <w:style w:type="character" w:customStyle="1" w:styleId="ListLabel6">
    <w:name w:val="ListLabel 6"/>
    <w:qFormat/>
    <w:rsid w:val="00172391"/>
    <w:rPr>
      <w:rFonts w:cs="Courier New"/>
    </w:rPr>
  </w:style>
  <w:style w:type="character" w:customStyle="1" w:styleId="ListLabel7">
    <w:name w:val="ListLabel 7"/>
    <w:qFormat/>
    <w:rsid w:val="00172391"/>
    <w:rPr>
      <w:rFonts w:cs="Courier New"/>
    </w:rPr>
  </w:style>
  <w:style w:type="character" w:customStyle="1" w:styleId="ListLabel8">
    <w:name w:val="ListLabel 8"/>
    <w:qFormat/>
    <w:rsid w:val="00172391"/>
    <w:rPr>
      <w:rFonts w:cs="Courier New"/>
    </w:rPr>
  </w:style>
  <w:style w:type="character" w:customStyle="1" w:styleId="ListLabel9">
    <w:name w:val="ListLabel 9"/>
    <w:qFormat/>
    <w:rsid w:val="00172391"/>
    <w:rPr>
      <w:rFonts w:cs="Courier New"/>
    </w:rPr>
  </w:style>
  <w:style w:type="character" w:customStyle="1" w:styleId="ListLabel10">
    <w:name w:val="ListLabel 10"/>
    <w:qFormat/>
    <w:rsid w:val="00172391"/>
    <w:rPr>
      <w:rFonts w:cs="Symbol"/>
    </w:rPr>
  </w:style>
  <w:style w:type="character" w:customStyle="1" w:styleId="ListLabel11">
    <w:name w:val="ListLabel 11"/>
    <w:qFormat/>
    <w:rsid w:val="00172391"/>
    <w:rPr>
      <w:rFonts w:cs="Courier New"/>
    </w:rPr>
  </w:style>
  <w:style w:type="character" w:customStyle="1" w:styleId="ListLabel12">
    <w:name w:val="ListLabel 12"/>
    <w:qFormat/>
    <w:rsid w:val="00172391"/>
    <w:rPr>
      <w:rFonts w:cs="Wingdings"/>
    </w:rPr>
  </w:style>
  <w:style w:type="character" w:customStyle="1" w:styleId="ListLabel13">
    <w:name w:val="ListLabel 13"/>
    <w:qFormat/>
    <w:rsid w:val="00172391"/>
    <w:rPr>
      <w:rFonts w:cs="Symbol"/>
    </w:rPr>
  </w:style>
  <w:style w:type="character" w:customStyle="1" w:styleId="ListLabel14">
    <w:name w:val="ListLabel 14"/>
    <w:qFormat/>
    <w:rsid w:val="00172391"/>
    <w:rPr>
      <w:rFonts w:cs="Courier New"/>
    </w:rPr>
  </w:style>
  <w:style w:type="character" w:customStyle="1" w:styleId="ListLabel15">
    <w:name w:val="ListLabel 15"/>
    <w:qFormat/>
    <w:rsid w:val="00172391"/>
    <w:rPr>
      <w:rFonts w:cs="Wingdings"/>
    </w:rPr>
  </w:style>
  <w:style w:type="character" w:customStyle="1" w:styleId="ListLabel16">
    <w:name w:val="ListLabel 16"/>
    <w:qFormat/>
    <w:rsid w:val="00172391"/>
    <w:rPr>
      <w:rFonts w:cs="Symbol"/>
    </w:rPr>
  </w:style>
  <w:style w:type="character" w:customStyle="1" w:styleId="ListLabel17">
    <w:name w:val="ListLabel 17"/>
    <w:qFormat/>
    <w:rsid w:val="00172391"/>
    <w:rPr>
      <w:rFonts w:cs="Courier New"/>
    </w:rPr>
  </w:style>
  <w:style w:type="character" w:customStyle="1" w:styleId="ListLabel18">
    <w:name w:val="ListLabel 18"/>
    <w:qFormat/>
    <w:rsid w:val="00172391"/>
    <w:rPr>
      <w:rFonts w:cs="Wingdings"/>
    </w:rPr>
  </w:style>
  <w:style w:type="character" w:customStyle="1" w:styleId="ListLabel19">
    <w:name w:val="ListLabel 19"/>
    <w:qFormat/>
    <w:rsid w:val="00172391"/>
    <w:rPr>
      <w:rFonts w:cs="Symbol"/>
    </w:rPr>
  </w:style>
  <w:style w:type="character" w:customStyle="1" w:styleId="ListLabel20">
    <w:name w:val="ListLabel 20"/>
    <w:qFormat/>
    <w:rsid w:val="00172391"/>
    <w:rPr>
      <w:rFonts w:cs="Courier New"/>
    </w:rPr>
  </w:style>
  <w:style w:type="character" w:customStyle="1" w:styleId="ListLabel21">
    <w:name w:val="ListLabel 21"/>
    <w:qFormat/>
    <w:rsid w:val="00172391"/>
    <w:rPr>
      <w:rFonts w:cs="Wingdings"/>
    </w:rPr>
  </w:style>
  <w:style w:type="character" w:customStyle="1" w:styleId="ListLabel22">
    <w:name w:val="ListLabel 22"/>
    <w:qFormat/>
    <w:rsid w:val="00172391"/>
    <w:rPr>
      <w:rFonts w:cs="Symbol"/>
    </w:rPr>
  </w:style>
  <w:style w:type="character" w:customStyle="1" w:styleId="ListLabel23">
    <w:name w:val="ListLabel 23"/>
    <w:qFormat/>
    <w:rsid w:val="00172391"/>
    <w:rPr>
      <w:rFonts w:cs="Courier New"/>
    </w:rPr>
  </w:style>
  <w:style w:type="character" w:customStyle="1" w:styleId="ListLabel24">
    <w:name w:val="ListLabel 24"/>
    <w:qFormat/>
    <w:rsid w:val="00172391"/>
    <w:rPr>
      <w:rFonts w:cs="Wingdings"/>
    </w:rPr>
  </w:style>
  <w:style w:type="character" w:customStyle="1" w:styleId="ListLabel25">
    <w:name w:val="ListLabel 25"/>
    <w:qFormat/>
    <w:rsid w:val="00172391"/>
    <w:rPr>
      <w:rFonts w:cs="Symbol"/>
    </w:rPr>
  </w:style>
  <w:style w:type="character" w:customStyle="1" w:styleId="ListLabel26">
    <w:name w:val="ListLabel 26"/>
    <w:qFormat/>
    <w:rsid w:val="00172391"/>
    <w:rPr>
      <w:rFonts w:cs="Courier New"/>
    </w:rPr>
  </w:style>
  <w:style w:type="character" w:customStyle="1" w:styleId="ListLabel27">
    <w:name w:val="ListLabel 27"/>
    <w:qFormat/>
    <w:rsid w:val="00172391"/>
    <w:rPr>
      <w:rFonts w:cs="Wingdings"/>
    </w:rPr>
  </w:style>
  <w:style w:type="paragraph" w:customStyle="1" w:styleId="Heading">
    <w:name w:val="Heading"/>
    <w:basedOn w:val="Normal"/>
    <w:next w:val="Corpsdetexte"/>
    <w:qFormat/>
    <w:rsid w:val="00172391"/>
    <w:pPr>
      <w:keepNext/>
      <w:spacing w:before="240" w:after="120"/>
    </w:pPr>
    <w:rPr>
      <w:rFonts w:ascii="Liberation Sans" w:eastAsia="AR PL UMing CN" w:hAnsi="Liberation Sans" w:cs="FreeSans"/>
      <w:sz w:val="28"/>
      <w:szCs w:val="28"/>
    </w:rPr>
  </w:style>
  <w:style w:type="paragraph" w:styleId="Corpsdetexte">
    <w:name w:val="Body Text"/>
    <w:basedOn w:val="Normal"/>
    <w:rsid w:val="00172391"/>
    <w:pPr>
      <w:spacing w:after="140" w:line="288" w:lineRule="auto"/>
    </w:pPr>
  </w:style>
  <w:style w:type="paragraph" w:styleId="Liste">
    <w:name w:val="List"/>
    <w:basedOn w:val="Corpsdetexte"/>
    <w:rsid w:val="00172391"/>
    <w:rPr>
      <w:rFonts w:cs="FreeSans"/>
    </w:rPr>
  </w:style>
  <w:style w:type="paragraph" w:styleId="Lgende">
    <w:name w:val="caption"/>
    <w:basedOn w:val="Normal"/>
    <w:qFormat/>
    <w:rsid w:val="00172391"/>
    <w:pPr>
      <w:suppressLineNumbers/>
      <w:spacing w:before="120" w:after="120"/>
    </w:pPr>
    <w:rPr>
      <w:rFonts w:cs="FreeSans"/>
      <w:i/>
      <w:iCs/>
      <w:sz w:val="24"/>
      <w:szCs w:val="24"/>
    </w:rPr>
  </w:style>
  <w:style w:type="paragraph" w:customStyle="1" w:styleId="Index">
    <w:name w:val="Index"/>
    <w:basedOn w:val="Normal"/>
    <w:qFormat/>
    <w:rsid w:val="00172391"/>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rsid w:val="00172391"/>
    <w:pPr>
      <w:spacing w:line="240" w:lineRule="auto"/>
    </w:pPr>
    <w:rPr>
      <w:sz w:val="20"/>
      <w:szCs w:val="20"/>
    </w:rPr>
  </w:style>
  <w:style w:type="character" w:customStyle="1" w:styleId="CommentaireCar">
    <w:name w:val="Commentaire Car"/>
    <w:basedOn w:val="Policepardfaut"/>
    <w:link w:val="Commentaire"/>
    <w:uiPriority w:val="99"/>
    <w:semiHidden/>
    <w:rsid w:val="00172391"/>
    <w:rPr>
      <w:color w:val="00000A"/>
      <w:szCs w:val="20"/>
    </w:rPr>
  </w:style>
  <w:style w:type="character" w:styleId="Marquedecommentaire">
    <w:name w:val="annotation reference"/>
    <w:basedOn w:val="Policepardfaut"/>
    <w:uiPriority w:val="99"/>
    <w:semiHidden/>
    <w:unhideWhenUsed/>
    <w:rsid w:val="00172391"/>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4875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3</cp:revision>
  <cp:lastPrinted>2017-10-27T14:06:00Z</cp:lastPrinted>
  <dcterms:created xsi:type="dcterms:W3CDTF">2017-12-01T13:50:00Z</dcterms:created>
  <dcterms:modified xsi:type="dcterms:W3CDTF">2018-01-23T13:08:00Z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