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F32157">
        <w:rPr>
          <w:rFonts w:asciiTheme="majorHAnsi" w:eastAsiaTheme="majorEastAsia" w:hAnsiTheme="majorHAnsi" w:cstheme="majorBidi"/>
          <w:b/>
          <w:bCs/>
          <w:color w:val="000000" w:themeColor="text1"/>
          <w:lang w:eastAsia="en-US"/>
        </w:rPr>
        <w:t>06 et 07 décembre à l’IFSTTAR - Champs sur Marne</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F32157" w:rsidP="001F5BF9">
      <w:pPr>
        <w:pStyle w:val="Titre1"/>
        <w:pBdr>
          <w:bottom w:val="single" w:sz="4" w:space="1" w:color="00000A"/>
        </w:pBdr>
        <w:shd w:val="clear" w:color="auto" w:fill="F2F2F2" w:themeFill="background1" w:themeFillShade="F2"/>
        <w:spacing w:before="120" w:after="120"/>
        <w:jc w:val="center"/>
      </w:pPr>
      <w:r>
        <w:t>Plateformes expérimentales, les construire, les partager, les gérer</w:t>
      </w:r>
    </w:p>
    <w:p w:rsidR="00C01D82" w:rsidRDefault="00D16DA9">
      <w:pPr>
        <w:pStyle w:val="Titre1"/>
        <w:pBdr>
          <w:bottom w:val="single" w:sz="4" w:space="1" w:color="00000A"/>
        </w:pBdr>
        <w:rPr>
          <w:rStyle w:val="Titre2Car"/>
        </w:rPr>
      </w:pPr>
      <w:r>
        <w:rPr>
          <w:rStyle w:val="Titre2Car"/>
        </w:rPr>
        <w:t>Contexte</w:t>
      </w:r>
    </w:p>
    <w:p w:rsidR="00BB671F" w:rsidRDefault="00BB671F">
      <w:pPr>
        <w:tabs>
          <w:tab w:val="left" w:pos="5409"/>
        </w:tabs>
        <w:jc w:val="both"/>
      </w:pPr>
    </w:p>
    <w:p w:rsidR="00F32157" w:rsidRDefault="00F32157">
      <w:pPr>
        <w:tabs>
          <w:tab w:val="left" w:pos="5409"/>
        </w:tabs>
        <w:jc w:val="both"/>
      </w:pPr>
      <w:r>
        <w:t>Le projet scientifique de l’I-site est fondée sur </w:t>
      </w:r>
      <w:r w:rsidR="008E0A85">
        <w:t xml:space="preserve">l’interdisciplinarité, l’exploration d’une large gamme d’échelles, du laboratoire aux territoires, un réseau d’équipements/plateformes expérimentales et de données de rang mondial, la co-invention entre académiques et acteurs opérationnels. </w:t>
      </w:r>
    </w:p>
    <w:p w:rsidR="008E0A85" w:rsidRDefault="008E0A85">
      <w:pPr>
        <w:tabs>
          <w:tab w:val="left" w:pos="5409"/>
        </w:tabs>
        <w:jc w:val="both"/>
      </w:pPr>
      <w:r>
        <w:t>Concernant les plateformes, l’objectif est </w:t>
      </w:r>
      <w:r w:rsidR="001F3EDE">
        <w:t xml:space="preserve">d’assurer un haut niveau d’équipement et de visibilité des plateformes existantes ou en développement </w:t>
      </w:r>
      <w:r>
        <w:t xml:space="preserve">: </w:t>
      </w:r>
    </w:p>
    <w:p w:rsidR="001F3EDE" w:rsidRDefault="001F3EDE" w:rsidP="001F3EDE">
      <w:pPr>
        <w:pStyle w:val="Paragraphedeliste"/>
        <w:numPr>
          <w:ilvl w:val="0"/>
          <w:numId w:val="11"/>
        </w:numPr>
        <w:tabs>
          <w:tab w:val="left" w:pos="5409"/>
        </w:tabs>
        <w:jc w:val="both"/>
      </w:pPr>
      <w:r>
        <w:t xml:space="preserve">Plateforme d’essai des structures </w:t>
      </w:r>
    </w:p>
    <w:p w:rsidR="001F3EDE" w:rsidRDefault="001F3EDE" w:rsidP="001F3EDE">
      <w:pPr>
        <w:pStyle w:val="Paragraphedeliste"/>
        <w:numPr>
          <w:ilvl w:val="0"/>
          <w:numId w:val="11"/>
        </w:numPr>
        <w:tabs>
          <w:tab w:val="left" w:pos="5409"/>
        </w:tabs>
        <w:jc w:val="both"/>
      </w:pPr>
      <w:r>
        <w:t xml:space="preserve">Plateforme de caractérisation multi-échelle des matériaux </w:t>
      </w:r>
    </w:p>
    <w:p w:rsidR="001F3EDE" w:rsidRDefault="001F3EDE" w:rsidP="001F3EDE">
      <w:pPr>
        <w:pStyle w:val="Paragraphedeliste"/>
        <w:numPr>
          <w:ilvl w:val="0"/>
          <w:numId w:val="11"/>
        </w:numPr>
        <w:tabs>
          <w:tab w:val="left" w:pos="5409"/>
        </w:tabs>
        <w:jc w:val="both"/>
      </w:pPr>
      <w:r>
        <w:t xml:space="preserve">Salles blanches </w:t>
      </w:r>
    </w:p>
    <w:p w:rsidR="001F3EDE" w:rsidRDefault="008B402E" w:rsidP="001F3EDE">
      <w:pPr>
        <w:pStyle w:val="Paragraphedeliste"/>
        <w:numPr>
          <w:ilvl w:val="0"/>
          <w:numId w:val="11"/>
        </w:numPr>
        <w:tabs>
          <w:tab w:val="left" w:pos="5409"/>
        </w:tabs>
        <w:jc w:val="both"/>
      </w:pPr>
      <w:r>
        <w:t>Equipex Sense</w:t>
      </w:r>
      <w:bookmarkStart w:id="0" w:name="_GoBack"/>
      <w:bookmarkEnd w:id="0"/>
      <w:r w:rsidR="001F3EDE">
        <w:t xml:space="preserve">-City </w:t>
      </w:r>
    </w:p>
    <w:p w:rsidR="00BB671F" w:rsidRDefault="001F3EDE" w:rsidP="00BB671F">
      <w:pPr>
        <w:tabs>
          <w:tab w:val="left" w:pos="5409"/>
        </w:tabs>
        <w:jc w:val="both"/>
      </w:pPr>
      <w:r>
        <w:t>a</w:t>
      </w:r>
      <w:r w:rsidR="00BB671F" w:rsidRPr="00BB671F">
        <w:t xml:space="preserve">u service de notre ambition : construire l’ESR majeur internationalement reconnu sur la ville de demain : </w:t>
      </w:r>
      <w:r w:rsidR="00BB671F">
        <w:t xml:space="preserve"> </w:t>
      </w:r>
    </w:p>
    <w:p w:rsidR="00BB671F" w:rsidRDefault="00BB671F" w:rsidP="00BB671F">
      <w:pPr>
        <w:pStyle w:val="Paragraphedeliste"/>
        <w:numPr>
          <w:ilvl w:val="0"/>
          <w:numId w:val="8"/>
        </w:numPr>
        <w:tabs>
          <w:tab w:val="left" w:pos="5409"/>
        </w:tabs>
        <w:jc w:val="both"/>
      </w:pPr>
      <w:r>
        <w:t>Ville économe en ressources</w:t>
      </w:r>
    </w:p>
    <w:p w:rsidR="00BB671F" w:rsidRDefault="00BB671F" w:rsidP="00BB671F">
      <w:pPr>
        <w:pStyle w:val="Paragraphedeliste"/>
        <w:numPr>
          <w:ilvl w:val="0"/>
          <w:numId w:val="8"/>
        </w:numPr>
        <w:tabs>
          <w:tab w:val="left" w:pos="5409"/>
        </w:tabs>
        <w:jc w:val="both"/>
      </w:pPr>
      <w:r>
        <w:t>Ville sûre et résiliente</w:t>
      </w:r>
    </w:p>
    <w:p w:rsidR="00BB671F" w:rsidRDefault="00BB671F" w:rsidP="00BB671F">
      <w:pPr>
        <w:pStyle w:val="Paragraphedeliste"/>
        <w:numPr>
          <w:ilvl w:val="0"/>
          <w:numId w:val="8"/>
        </w:numPr>
        <w:tabs>
          <w:tab w:val="left" w:pos="5409"/>
        </w:tabs>
        <w:jc w:val="both"/>
      </w:pPr>
      <w:r>
        <w:t xml:space="preserve">Ville connectée </w:t>
      </w:r>
    </w:p>
    <w:p w:rsidR="00D2164C" w:rsidRPr="00063ABB" w:rsidRDefault="00063ABB" w:rsidP="00063ABB">
      <w:pPr>
        <w:pStyle w:val="Titre1"/>
        <w:pBdr>
          <w:bottom w:val="single" w:sz="4" w:space="1" w:color="00000A"/>
        </w:pBdr>
        <w:rPr>
          <w:rStyle w:val="Titre2Car"/>
        </w:rPr>
      </w:pPr>
      <w:r>
        <w:rPr>
          <w:rStyle w:val="Titre2Car"/>
        </w:rPr>
        <w:t xml:space="preserve">Objectifs </w:t>
      </w:r>
    </w:p>
    <w:p w:rsidR="00BB671F" w:rsidRDefault="00BB671F" w:rsidP="00D2164C">
      <w:pPr>
        <w:jc w:val="both"/>
      </w:pPr>
    </w:p>
    <w:p w:rsidR="00C35C2A" w:rsidRDefault="00BB671F" w:rsidP="00D2164C">
      <w:pPr>
        <w:jc w:val="both"/>
      </w:pPr>
      <w:r>
        <w:t xml:space="preserve">L’objectif de l’atelier est </w:t>
      </w:r>
      <w:r w:rsidR="00C35C2A">
        <w:t xml:space="preserve">d’abord </w:t>
      </w:r>
      <w:r>
        <w:t xml:space="preserve">de développer une connaissance partagée de nos plateformes expérimentales, existantes, </w:t>
      </w:r>
      <w:r w:rsidR="00C35C2A">
        <w:t>en construction ou projetées : ce qu’il s’y fait ou s’y fera, les équipes qui en ont la charge, le lien avec l’enseignement leurs partenaires académiques et industrielles, le positionnement international, les perspectives d’avenir.</w:t>
      </w:r>
    </w:p>
    <w:p w:rsidR="00C35C2A" w:rsidRDefault="00C35C2A" w:rsidP="00D2164C">
      <w:pPr>
        <w:jc w:val="both"/>
      </w:pPr>
      <w:r w:rsidRPr="00B23779">
        <w:rPr>
          <w:b/>
        </w:rPr>
        <w:t xml:space="preserve">Chaque participant, concerné par une plateforme particulière est invité à apporter des éléments (par exemple pwp) de présentation de cette plateforme, </w:t>
      </w:r>
      <w:r>
        <w:t xml:space="preserve">sous les aspects ci-dessus. </w:t>
      </w:r>
    </w:p>
    <w:p w:rsidR="00063ABB" w:rsidRDefault="00C35C2A" w:rsidP="00D2164C">
      <w:pPr>
        <w:jc w:val="both"/>
        <w:rPr>
          <w:rStyle w:val="tgc"/>
        </w:rPr>
      </w:pPr>
      <w:r>
        <w:lastRenderedPageBreak/>
        <w:t xml:space="preserve">Puis nous développerons l’analyse de la situation ACTUELLE par une démarche </w:t>
      </w:r>
      <w:r>
        <w:rPr>
          <w:rStyle w:val="tgc"/>
          <w:b/>
          <w:bCs/>
        </w:rPr>
        <w:t>SWOT</w:t>
      </w:r>
      <w:r>
        <w:rPr>
          <w:rStyle w:val="tgc"/>
        </w:rPr>
        <w:t xml:space="preserve"> (strengths (forces), weaknesses (faiblesses), opportunities (opportunités), threats (menaces)</w:t>
      </w:r>
    </w:p>
    <w:p w:rsidR="00B23779" w:rsidRDefault="00C35C2A" w:rsidP="00B23779">
      <w:pPr>
        <w:tabs>
          <w:tab w:val="left" w:pos="5409"/>
        </w:tabs>
        <w:jc w:val="both"/>
      </w:pPr>
      <w:r>
        <w:rPr>
          <w:rStyle w:val="tgc"/>
        </w:rPr>
        <w:t>Dans un deuxième temps, no</w:t>
      </w:r>
      <w:r w:rsidR="00B23779">
        <w:rPr>
          <w:rStyle w:val="tgc"/>
        </w:rPr>
        <w:t xml:space="preserve">us nous poserons la question du potentiel apporté par nos plateformes pour que l’I-site soit un acteur majeur de l’Enseignement et de la Recherche sur </w:t>
      </w:r>
      <w:r w:rsidR="00B23779">
        <w:t>l</w:t>
      </w:r>
      <w:r w:rsidR="00B23779" w:rsidRPr="00BB671F">
        <w:t>a ville de demain</w:t>
      </w:r>
      <w:r w:rsidR="00B23779">
        <w:t xml:space="preserve">. Le projet d’I-site cite les objectifs suivants : </w:t>
      </w:r>
      <w:r w:rsidR="00B23779" w:rsidRPr="00BB671F">
        <w:t xml:space="preserve"> </w:t>
      </w:r>
      <w:r w:rsidR="00B23779">
        <w:t xml:space="preserve"> </w:t>
      </w:r>
    </w:p>
    <w:p w:rsidR="00B23779" w:rsidRPr="00B23779" w:rsidRDefault="00B23779" w:rsidP="00B44246">
      <w:pPr>
        <w:pStyle w:val="Paragraphedeliste"/>
        <w:numPr>
          <w:ilvl w:val="0"/>
          <w:numId w:val="9"/>
        </w:numPr>
        <w:tabs>
          <w:tab w:val="left" w:pos="5409"/>
        </w:tabs>
        <w:jc w:val="both"/>
      </w:pPr>
      <w:r w:rsidRPr="00B23779">
        <w:rPr>
          <w:rFonts w:ascii="Calibri" w:hAnsi="Calibri" w:cs="Calibri"/>
          <w:color w:val="auto"/>
        </w:rPr>
        <w:t xml:space="preserve">Fournir une compréhension systémique des interactions entre les infrastructures ou les différents espaces bâtis, les services associés, les usages et l’utilisation des ressources (eau, sol, air, matériaux, énergie) à différentes échelles territoriales. </w:t>
      </w:r>
    </w:p>
    <w:p w:rsidR="00B23779" w:rsidRPr="00B23779" w:rsidRDefault="00B23779" w:rsidP="00B44246">
      <w:pPr>
        <w:pStyle w:val="Paragraphedeliste"/>
        <w:numPr>
          <w:ilvl w:val="0"/>
          <w:numId w:val="9"/>
        </w:numPr>
        <w:tabs>
          <w:tab w:val="left" w:pos="5409"/>
        </w:tabs>
        <w:jc w:val="both"/>
      </w:pPr>
      <w:r w:rsidRPr="00B23779">
        <w:rPr>
          <w:rFonts w:ascii="Calibri" w:hAnsi="Calibri" w:cs="Calibri"/>
          <w:color w:val="auto"/>
        </w:rPr>
        <w:t>Repenser les formes et l'organisation urbaine qui permettront la mise en place de nouvelles infrastructures et services associés les plus performants et satisfaisants pour les ressources et la santé</w:t>
      </w:r>
    </w:p>
    <w:p w:rsidR="00B23779" w:rsidRPr="00BB671F" w:rsidRDefault="00B23779" w:rsidP="00B44246">
      <w:pPr>
        <w:pStyle w:val="Paragraphedeliste"/>
        <w:numPr>
          <w:ilvl w:val="0"/>
          <w:numId w:val="9"/>
        </w:numPr>
        <w:tabs>
          <w:tab w:val="left" w:pos="5409"/>
        </w:tabs>
        <w:jc w:val="both"/>
      </w:pPr>
      <w:r w:rsidRPr="00B23779">
        <w:rPr>
          <w:rFonts w:cstheme="minorHAnsi"/>
          <w:color w:val="auto"/>
        </w:rPr>
        <w:t xml:space="preserve">Étudier et développer la ville numérique et en faire un levier de performance sociale, environnementale et économique : </w:t>
      </w:r>
      <w:r w:rsidRPr="00B23779">
        <w:rPr>
          <w:rFonts w:cstheme="minorHAnsi"/>
          <w:iCs/>
          <w:color w:val="auto"/>
        </w:rPr>
        <w:t>réseaux de capteurs urbains, méthode de data analyse innovantes, nouveaux services associés</w:t>
      </w:r>
    </w:p>
    <w:p w:rsidR="00B23779" w:rsidRPr="00BB671F" w:rsidRDefault="00B23779" w:rsidP="00B23779">
      <w:pPr>
        <w:pStyle w:val="Paragraphedeliste"/>
        <w:numPr>
          <w:ilvl w:val="0"/>
          <w:numId w:val="9"/>
        </w:numPr>
      </w:pPr>
      <w:r w:rsidRPr="00B23779">
        <w:rPr>
          <w:color w:val="auto"/>
        </w:rPr>
        <w:t xml:space="preserve">Comprendre et gérer le « risque urbain » dans ses interactions et interdépendances </w:t>
      </w:r>
    </w:p>
    <w:p w:rsidR="00B23779" w:rsidRPr="00BB671F" w:rsidRDefault="00B23779" w:rsidP="00B23779">
      <w:pPr>
        <w:pStyle w:val="Paragraphedeliste"/>
        <w:numPr>
          <w:ilvl w:val="0"/>
          <w:numId w:val="9"/>
        </w:numPr>
      </w:pPr>
      <w:r w:rsidRPr="00B23779">
        <w:rPr>
          <w:color w:val="auto"/>
        </w:rPr>
        <w:t>Proposer des modes d’organisations adaptés à des territoires et un ensemble de solutions techniques, organisationnelles ou méthodologiques innovantes</w:t>
      </w:r>
    </w:p>
    <w:p w:rsidR="001F3EDE" w:rsidRDefault="00B23779" w:rsidP="001F3EDE">
      <w:pPr>
        <w:jc w:val="both"/>
        <w:rPr>
          <w:rStyle w:val="tgc"/>
        </w:rPr>
      </w:pPr>
      <w:r>
        <w:rPr>
          <w:rStyle w:val="tgc"/>
        </w:rPr>
        <w:t>Dans un troisième temps, nous examinerons, à titre exploratoire, ce que pourrait être un réseau des plateformes expérimentales de l’I-site</w:t>
      </w:r>
      <w:r w:rsidR="001F3EDE">
        <w:rPr>
          <w:rStyle w:val="tgc"/>
        </w:rPr>
        <w:t xml:space="preserve">, son intérêt : </w:t>
      </w:r>
    </w:p>
    <w:p w:rsidR="00B23779" w:rsidRDefault="00B23779" w:rsidP="001F3EDE">
      <w:pPr>
        <w:pStyle w:val="Paragraphedeliste"/>
        <w:numPr>
          <w:ilvl w:val="0"/>
          <w:numId w:val="10"/>
        </w:numPr>
        <w:jc w:val="both"/>
        <w:rPr>
          <w:rStyle w:val="tgc"/>
        </w:rPr>
      </w:pPr>
      <w:r>
        <w:rPr>
          <w:rStyle w:val="tgc"/>
        </w:rPr>
        <w:t>La plus-value potentiel d’un réseau, les objectifs, les missions</w:t>
      </w:r>
    </w:p>
    <w:p w:rsidR="001F3EDE" w:rsidRDefault="001F3EDE" w:rsidP="001F3EDE">
      <w:pPr>
        <w:pStyle w:val="Paragraphedeliste"/>
        <w:numPr>
          <w:ilvl w:val="0"/>
          <w:numId w:val="10"/>
        </w:numPr>
        <w:jc w:val="both"/>
        <w:rPr>
          <w:rStyle w:val="tgc"/>
        </w:rPr>
      </w:pPr>
      <w:r>
        <w:rPr>
          <w:rStyle w:val="tgc"/>
        </w:rPr>
        <w:t xml:space="preserve">La mise en avant au niveau international de ce réseau </w:t>
      </w:r>
    </w:p>
    <w:p w:rsidR="00B23779" w:rsidRDefault="00B23779" w:rsidP="00B23779">
      <w:pPr>
        <w:pStyle w:val="Paragraphedeliste"/>
        <w:numPr>
          <w:ilvl w:val="0"/>
          <w:numId w:val="9"/>
        </w:numPr>
        <w:jc w:val="both"/>
        <w:rPr>
          <w:rStyle w:val="tgc"/>
        </w:rPr>
      </w:pPr>
      <w:r>
        <w:rPr>
          <w:rStyle w:val="tgc"/>
        </w:rPr>
        <w:t xml:space="preserve">Le fonctionnement, l’organisation du réseau </w:t>
      </w:r>
    </w:p>
    <w:p w:rsidR="00B23779" w:rsidRDefault="00B23779" w:rsidP="00B23779">
      <w:pPr>
        <w:pStyle w:val="Paragraphedeliste"/>
        <w:numPr>
          <w:ilvl w:val="0"/>
          <w:numId w:val="9"/>
        </w:numPr>
        <w:jc w:val="both"/>
        <w:rPr>
          <w:rStyle w:val="tgc"/>
        </w:rPr>
      </w:pPr>
      <w:r>
        <w:rPr>
          <w:rStyle w:val="tgc"/>
        </w:rPr>
        <w:t xml:space="preserve">La contribution </w:t>
      </w:r>
      <w:r w:rsidR="001F3EDE">
        <w:rPr>
          <w:rStyle w:val="tgc"/>
        </w:rPr>
        <w:t xml:space="preserve">collective </w:t>
      </w:r>
      <w:r>
        <w:rPr>
          <w:rStyle w:val="tgc"/>
        </w:rPr>
        <w:t xml:space="preserve">à l’enseignement </w:t>
      </w:r>
    </w:p>
    <w:p w:rsidR="001F3EDE" w:rsidRDefault="001F3EDE" w:rsidP="00B23779">
      <w:pPr>
        <w:pStyle w:val="Paragraphedeliste"/>
        <w:numPr>
          <w:ilvl w:val="0"/>
          <w:numId w:val="9"/>
        </w:numPr>
        <w:jc w:val="both"/>
        <w:rPr>
          <w:rStyle w:val="tgc"/>
        </w:rPr>
      </w:pPr>
      <w:r>
        <w:rPr>
          <w:rStyle w:val="tgc"/>
        </w:rPr>
        <w:t xml:space="preserve">Les appuis réciproques possibles entre les équipes </w:t>
      </w:r>
    </w:p>
    <w:p w:rsidR="001F3EDE" w:rsidRDefault="001F3EDE" w:rsidP="00B23779">
      <w:pPr>
        <w:pStyle w:val="Paragraphedeliste"/>
        <w:numPr>
          <w:ilvl w:val="0"/>
          <w:numId w:val="9"/>
        </w:numPr>
        <w:jc w:val="both"/>
        <w:rPr>
          <w:rStyle w:val="tgc"/>
        </w:rPr>
      </w:pPr>
      <w:r>
        <w:rPr>
          <w:rStyle w:val="tgc"/>
        </w:rPr>
        <w:t xml:space="preserve">Le montage et la réalisation de projets en commun </w:t>
      </w:r>
    </w:p>
    <w:p w:rsidR="001F3EDE" w:rsidRDefault="001F3EDE" w:rsidP="001F3EDE">
      <w:pPr>
        <w:jc w:val="both"/>
        <w:rPr>
          <w:rStyle w:val="tgc"/>
        </w:rPr>
      </w:pPr>
      <w:r>
        <w:rPr>
          <w:rStyle w:val="tgc"/>
        </w:rPr>
        <w:t xml:space="preserve">Dans un quatrième temps, nous reviendrons sur l’analyse SWOT, pour réfléchir à l’apport potentiel du réseau, formalisé ou informel, que constituent les plateformes expérimentales de l’I-site, à la réussite individuelle de chacune et à la réussite collective de l’I-site comme acteur majeur de l’enseignement et de la recherche sur la ville de demain.  </w:t>
      </w:r>
    </w:p>
    <w:p w:rsidR="00C01D82" w:rsidRDefault="001F3EDE" w:rsidP="00BB671F">
      <w:pPr>
        <w:jc w:val="both"/>
        <w:rPr>
          <w:rFonts w:asciiTheme="majorHAnsi" w:eastAsiaTheme="majorEastAsia" w:hAnsiTheme="majorHAnsi" w:cstheme="majorBidi"/>
          <w:b/>
          <w:bCs/>
          <w:i/>
          <w:color w:val="000000" w:themeColor="text1"/>
          <w:sz w:val="24"/>
          <w:szCs w:val="24"/>
        </w:rPr>
      </w:pPr>
      <w:r>
        <w:rPr>
          <w:rStyle w:val="tgc"/>
        </w:rPr>
        <w:t xml:space="preserve"> </w:t>
      </w:r>
      <w:r w:rsidR="008B402E">
        <w:rPr>
          <w:rFonts w:asciiTheme="majorHAnsi" w:eastAsiaTheme="majorEastAsia" w:hAnsiTheme="majorHAnsi" w:cstheme="majorBidi"/>
          <w:b/>
          <w:bCs/>
          <w:i/>
          <w:color w:val="000000" w:themeColor="text1"/>
          <w:sz w:val="24"/>
          <w:szCs w:val="24"/>
        </w:rPr>
        <w:t>Thierry KRETZ (</w:t>
      </w:r>
      <w:proofErr w:type="spellStart"/>
      <w:r w:rsidR="008B402E">
        <w:rPr>
          <w:rFonts w:asciiTheme="majorHAnsi" w:eastAsiaTheme="majorEastAsia" w:hAnsiTheme="majorHAnsi" w:cstheme="majorBidi"/>
          <w:b/>
          <w:bCs/>
          <w:i/>
          <w:color w:val="000000" w:themeColor="text1"/>
          <w:sz w:val="24"/>
          <w:szCs w:val="24"/>
        </w:rPr>
        <w:t>Ifsttar</w:t>
      </w:r>
      <w:proofErr w:type="spellEnd"/>
      <w:proofErr w:type="gramStart"/>
      <w:r w:rsidR="008B402E">
        <w:rPr>
          <w:rFonts w:asciiTheme="majorHAnsi" w:eastAsiaTheme="majorEastAsia" w:hAnsiTheme="majorHAnsi" w:cstheme="majorBidi"/>
          <w:b/>
          <w:bCs/>
          <w:i/>
          <w:color w:val="000000" w:themeColor="text1"/>
          <w:sz w:val="24"/>
          <w:szCs w:val="24"/>
        </w:rPr>
        <w:t>),  Bruno</w:t>
      </w:r>
      <w:proofErr w:type="gramEnd"/>
      <w:r w:rsidR="008B402E">
        <w:rPr>
          <w:rFonts w:asciiTheme="majorHAnsi" w:eastAsiaTheme="majorEastAsia" w:hAnsiTheme="majorHAnsi" w:cstheme="majorBidi"/>
          <w:b/>
          <w:bCs/>
          <w:i/>
          <w:color w:val="000000" w:themeColor="text1"/>
          <w:sz w:val="24"/>
          <w:szCs w:val="24"/>
        </w:rPr>
        <w:t xml:space="preserve"> MERCIER (ESIEE)</w:t>
      </w:r>
    </w:p>
    <w:p w:rsidR="007B3B95" w:rsidRDefault="007B3B95" w:rsidP="00BB671F">
      <w:pPr>
        <w:jc w:val="both"/>
        <w:rPr>
          <w:rFonts w:asciiTheme="majorHAnsi" w:eastAsiaTheme="majorEastAsia" w:hAnsiTheme="majorHAnsi" w:cstheme="majorBidi"/>
          <w:b/>
          <w:bCs/>
          <w:i/>
          <w:color w:val="000000" w:themeColor="text1"/>
          <w:sz w:val="24"/>
          <w:szCs w:val="24"/>
        </w:rPr>
      </w:pPr>
    </w:p>
    <w:p w:rsidR="00C35C2A" w:rsidRPr="00C35C2A" w:rsidRDefault="00C35C2A" w:rsidP="00BB671F">
      <w:pPr>
        <w:jc w:val="both"/>
        <w:rPr>
          <w:rFonts w:asciiTheme="majorHAnsi" w:eastAsiaTheme="majorEastAsia" w:hAnsiTheme="majorHAnsi" w:cstheme="majorBidi"/>
          <w:b/>
          <w:bCs/>
          <w:color w:val="000000" w:themeColor="text1"/>
          <w:sz w:val="24"/>
          <w:szCs w:val="24"/>
        </w:rPr>
      </w:pPr>
    </w:p>
    <w:p w:rsidR="00C35C2A" w:rsidRPr="00C35C2A" w:rsidRDefault="00C35C2A" w:rsidP="00BB671F">
      <w:pPr>
        <w:jc w:val="both"/>
        <w:rPr>
          <w:rFonts w:asciiTheme="majorHAnsi" w:eastAsiaTheme="majorEastAsia" w:hAnsiTheme="majorHAnsi" w:cstheme="majorBidi"/>
          <w:b/>
          <w:bCs/>
          <w:color w:val="000000" w:themeColor="text1"/>
          <w:sz w:val="24"/>
          <w:szCs w:val="24"/>
        </w:rPr>
      </w:pPr>
    </w:p>
    <w:p w:rsidR="00BB671F" w:rsidRDefault="00BB671F" w:rsidP="00BB671F">
      <w:pPr>
        <w:jc w:val="both"/>
      </w:pPr>
    </w:p>
    <w:sectPr w:rsidR="00BB671F"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54" w:rsidRDefault="00BF3654" w:rsidP="00D16DA9">
      <w:pPr>
        <w:spacing w:after="0" w:line="240" w:lineRule="auto"/>
      </w:pPr>
      <w:r>
        <w:separator/>
      </w:r>
    </w:p>
  </w:endnote>
  <w:endnote w:type="continuationSeparator" w:id="0">
    <w:p w:rsidR="00BF3654" w:rsidRDefault="00BF3654"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3">
    <w:altName w:val="Wingdings"/>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54" w:rsidRDefault="00BF3654" w:rsidP="00D16DA9">
      <w:pPr>
        <w:spacing w:after="0" w:line="240" w:lineRule="auto"/>
      </w:pPr>
      <w:r>
        <w:separator/>
      </w:r>
    </w:p>
  </w:footnote>
  <w:footnote w:type="continuationSeparator" w:id="0">
    <w:p w:rsidR="00BF3654" w:rsidRDefault="00BF3654"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B0E1BA8"/>
    <w:multiLevelType w:val="hybridMultilevel"/>
    <w:tmpl w:val="7EE0C50E"/>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BC4DE7"/>
    <w:multiLevelType w:val="hybridMultilevel"/>
    <w:tmpl w:val="B1F48EF2"/>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1E4B8F"/>
    <w:multiLevelType w:val="hybridMultilevel"/>
    <w:tmpl w:val="3864C0A2"/>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D4928"/>
    <w:multiLevelType w:val="hybridMultilevel"/>
    <w:tmpl w:val="CF5CB238"/>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DF15EB9"/>
    <w:multiLevelType w:val="hybridMultilevel"/>
    <w:tmpl w:val="6498867E"/>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1"/>
  </w:num>
  <w:num w:numId="6">
    <w:abstractNumId w:val="6"/>
  </w:num>
  <w:num w:numId="7">
    <w:abstractNumId w:val="7"/>
  </w:num>
  <w:num w:numId="8">
    <w:abstractNumId w:val="3"/>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5536D"/>
    <w:rsid w:val="00055C21"/>
    <w:rsid w:val="00063ABB"/>
    <w:rsid w:val="00072FDA"/>
    <w:rsid w:val="001A4032"/>
    <w:rsid w:val="001D70FD"/>
    <w:rsid w:val="001E0662"/>
    <w:rsid w:val="001F3EDE"/>
    <w:rsid w:val="001F5BF9"/>
    <w:rsid w:val="00230DF1"/>
    <w:rsid w:val="00245CCA"/>
    <w:rsid w:val="003144AF"/>
    <w:rsid w:val="0046037A"/>
    <w:rsid w:val="004A5A4E"/>
    <w:rsid w:val="0057351C"/>
    <w:rsid w:val="005C2610"/>
    <w:rsid w:val="0068212E"/>
    <w:rsid w:val="006C72A9"/>
    <w:rsid w:val="006D37BE"/>
    <w:rsid w:val="006F5731"/>
    <w:rsid w:val="00713FAE"/>
    <w:rsid w:val="0075667C"/>
    <w:rsid w:val="007B3B95"/>
    <w:rsid w:val="007D6367"/>
    <w:rsid w:val="008754EF"/>
    <w:rsid w:val="00891721"/>
    <w:rsid w:val="008B402E"/>
    <w:rsid w:val="008B7814"/>
    <w:rsid w:val="008D48A6"/>
    <w:rsid w:val="008E0A85"/>
    <w:rsid w:val="00951CE7"/>
    <w:rsid w:val="00983657"/>
    <w:rsid w:val="00B23779"/>
    <w:rsid w:val="00B278EA"/>
    <w:rsid w:val="00B3504B"/>
    <w:rsid w:val="00B35692"/>
    <w:rsid w:val="00BB671F"/>
    <w:rsid w:val="00BF3654"/>
    <w:rsid w:val="00C01D82"/>
    <w:rsid w:val="00C35C2A"/>
    <w:rsid w:val="00C93DB8"/>
    <w:rsid w:val="00D16DA9"/>
    <w:rsid w:val="00D2164C"/>
    <w:rsid w:val="00D82084"/>
    <w:rsid w:val="00DE064A"/>
    <w:rsid w:val="00F3215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3C4D"/>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table" w:styleId="Grilledutableau">
    <w:name w:val="Table Grid"/>
    <w:basedOn w:val="TableauNormal"/>
    <w:uiPriority w:val="59"/>
    <w:rsid w:val="008E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A85"/>
    <w:pPr>
      <w:autoSpaceDE w:val="0"/>
      <w:autoSpaceDN w:val="0"/>
      <w:adjustRightInd w:val="0"/>
    </w:pPr>
    <w:rPr>
      <w:rFonts w:ascii="Wingdings 3" w:hAnsi="Wingdings 3" w:cs="Wingdings 3"/>
      <w:color w:val="000000"/>
      <w:sz w:val="24"/>
      <w:szCs w:val="24"/>
    </w:rPr>
  </w:style>
  <w:style w:type="character" w:customStyle="1" w:styleId="tgc">
    <w:name w:val="_tgc"/>
    <w:basedOn w:val="Policepardfaut"/>
    <w:rsid w:val="00C35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3084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3</cp:revision>
  <cp:lastPrinted>2017-11-29T08:27:00Z</cp:lastPrinted>
  <dcterms:created xsi:type="dcterms:W3CDTF">2017-11-29T10:15:00Z</dcterms:created>
  <dcterms:modified xsi:type="dcterms:W3CDTF">2018-01-23T13:13:00Z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